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7D355">
      <w:pPr>
        <w:jc w:val="center"/>
        <w:rPr>
          <w:rFonts w:hint="eastAsia" w:ascii="黑体" w:hAnsi="黑体" w:eastAsia="黑体" w:cs="黑体"/>
          <w:sz w:val="24"/>
          <w:szCs w:val="24"/>
        </w:rPr>
      </w:pPr>
    </w:p>
    <w:p w14:paraId="6E7BD7A5">
      <w:pPr>
        <w:jc w:val="center"/>
        <w:rPr>
          <w:rFonts w:hint="eastAsia" w:ascii="黑体" w:hAnsi="黑体" w:eastAsia="黑体" w:cs="黑体"/>
          <w:sz w:val="48"/>
          <w:szCs w:val="48"/>
          <w:lang w:eastAsia="zh-CN"/>
        </w:rPr>
      </w:pPr>
      <w:bookmarkStart w:id="5" w:name="_GoBack"/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招标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文件</w:t>
      </w:r>
    </w:p>
    <w:p w14:paraId="2B2DA3DF">
      <w:pPr>
        <w:jc w:val="center"/>
        <w:rPr>
          <w:rFonts w:hint="eastAsia" w:ascii="黑体" w:hAnsi="黑体" w:eastAsia="黑体" w:cs="黑体"/>
          <w:sz w:val="22"/>
          <w:szCs w:val="22"/>
        </w:rPr>
      </w:pPr>
    </w:p>
    <w:p w14:paraId="1C87130C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Hlk69195435"/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招标单位：</w:t>
      </w:r>
      <w:r>
        <w:rPr>
          <w:rFonts w:hint="eastAsia" w:ascii="仿宋" w:hAnsi="仿宋" w:eastAsia="仿宋" w:cs="仿宋"/>
          <w:sz w:val="32"/>
          <w:szCs w:val="32"/>
        </w:rPr>
        <w:t>甘肃正立建设投资（集团）有限公司</w:t>
      </w:r>
    </w:p>
    <w:p w14:paraId="77B04A7A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招标工程名称：</w:t>
      </w:r>
      <w:bookmarkStart w:id="1" w:name="_Hlk74409592"/>
      <w:r>
        <w:rPr>
          <w:rFonts w:hint="eastAsia" w:ascii="仿宋" w:hAnsi="仿宋" w:eastAsia="仿宋" w:cs="仿宋"/>
          <w:sz w:val="32"/>
          <w:szCs w:val="32"/>
        </w:rPr>
        <w:t>长春中医药大学附属医院定西医院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二标段</w:t>
      </w:r>
      <w:bookmarkEnd w:id="1"/>
    </w:p>
    <w:p w14:paraId="03184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招标概况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3EB13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3-1、</w:t>
      </w:r>
      <w:r>
        <w:rPr>
          <w:rFonts w:hint="eastAsia" w:ascii="仿宋" w:hAnsi="仿宋" w:eastAsia="仿宋" w:cs="仿宋"/>
          <w:sz w:val="32"/>
          <w:szCs w:val="32"/>
        </w:rPr>
        <w:t>长春中医药大学附属医院定西医院项目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二标段采购需求：采购洗衣房设备一批。</w:t>
      </w:r>
    </w:p>
    <w:p w14:paraId="79620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3-2、</w:t>
      </w:r>
      <w:r>
        <w:rPr>
          <w:rFonts w:hint="eastAsia" w:ascii="仿宋" w:hAnsi="仿宋" w:eastAsia="仿宋" w:cs="仿宋"/>
          <w:sz w:val="32"/>
          <w:szCs w:val="32"/>
        </w:rPr>
        <w:t>长春中医药大学附属医院定西医院项目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二标段采购需求：900方污水处理设备</w:t>
      </w:r>
      <w:r>
        <w:rPr>
          <w:rFonts w:hint="eastAsia" w:ascii="仿宋" w:hAnsi="仿宋" w:eastAsia="仿宋" w:cs="仿宋"/>
          <w:sz w:val="32"/>
          <w:szCs w:val="32"/>
        </w:rPr>
        <w:t>采购进行招标，通过招标确定供应单位。</w:t>
      </w:r>
    </w:p>
    <w:p w14:paraId="5E956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3-3、</w:t>
      </w:r>
      <w:r>
        <w:rPr>
          <w:rFonts w:hint="eastAsia" w:ascii="仿宋" w:hAnsi="仿宋" w:eastAsia="仿宋" w:cs="仿宋"/>
          <w:sz w:val="32"/>
          <w:szCs w:val="32"/>
        </w:rPr>
        <w:t>长春中医药大学附属医院定西医院项目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二标段采购需求：雨水收集利用系统、节水灌溉系统选用国内名优品牌。</w:t>
      </w:r>
    </w:p>
    <w:p w14:paraId="521300A4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材料质量及报价要求：</w:t>
      </w:r>
    </w:p>
    <w:p w14:paraId="022D2D07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4-1、洗衣房技术参数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及报价要求：</w:t>
      </w:r>
    </w:p>
    <w:p w14:paraId="6B6E0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100kg全自动洗脱机技术需求：</w:t>
      </w:r>
    </w:p>
    <w:p w14:paraId="27A7E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★1、内筒、外缸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面板（后面板除外）均采用 304 不锈钢、经久耐用 ，整个洗涤缸系统悬空安装在弹簧和减震装置上（弹簧数量≥ 4个，阻尼器数量≥ 10个），减震≥ 97%，性能更稳定。</w:t>
      </w:r>
    </w:p>
    <w:p w14:paraId="59B16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★2、轴承座采用前后两个分体轴座结构，方便维修。</w:t>
      </w:r>
    </w:p>
    <w:p w14:paraId="45FE020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屏幕液晶显示电脑控制，中英文显示，随意切换。（电脑板采用内置30套以上可编自动程序，自动程序具有跳步和允许手动干预功能；USB接口，程序可在线升级和可备份功能，脱水超震智能处理）。手动/自动电脑控制系统，有故障自检测功能和紧急停止触发装置。</w:t>
      </w:r>
    </w:p>
    <w:p w14:paraId="2483847A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★4、电机采用行业专用下置电机，电机的防护等级为IP55以上。</w:t>
      </w:r>
    </w:p>
    <w:p w14:paraId="574DD259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★5、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额定容量100Kg；</w:t>
      </w:r>
      <w:r>
        <w:rPr>
          <w:rFonts w:hint="eastAsia" w:ascii="仿宋" w:hAnsi="仿宋" w:eastAsia="仿宋" w:cs="仿宋"/>
          <w:sz w:val="32"/>
          <w:szCs w:val="32"/>
        </w:rPr>
        <w:t>洗衣外缸（盛水缸）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：≥1370*900mm；</w:t>
      </w:r>
      <w:r>
        <w:rPr>
          <w:rFonts w:hint="eastAsia" w:ascii="仿宋" w:hAnsi="仿宋" w:eastAsia="仿宋" w:cs="仿宋"/>
          <w:sz w:val="32"/>
          <w:szCs w:val="32"/>
        </w:rPr>
        <w:t>内筒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≥1300*770mm；</w:t>
      </w:r>
      <w:r>
        <w:rPr>
          <w:rFonts w:hint="eastAsia" w:ascii="仿宋" w:hAnsi="仿宋" w:eastAsia="仿宋" w:cs="仿宋"/>
          <w:sz w:val="32"/>
          <w:szCs w:val="32"/>
        </w:rPr>
        <w:t>电加热功率kw</w:t>
      </w:r>
      <w:r>
        <w:rPr>
          <w:rFonts w:hint="eastAsia" w:ascii="仿宋" w:hAnsi="仿宋" w:eastAsia="仿宋" w:cs="仿宋"/>
          <w:kern w:val="0"/>
          <w:sz w:val="32"/>
          <w:szCs w:val="32"/>
        </w:rPr>
        <w:t>≤</w:t>
      </w:r>
      <w:r>
        <w:rPr>
          <w:rFonts w:hint="eastAsia" w:ascii="仿宋" w:hAnsi="仿宋" w:eastAsia="仿宋" w:cs="仿宋"/>
          <w:spacing w:val="-28"/>
          <w:sz w:val="32"/>
          <w:szCs w:val="32"/>
        </w:rPr>
        <w:t>54；</w:t>
      </w:r>
      <w:r>
        <w:rPr>
          <w:rFonts w:hint="eastAsia" w:ascii="仿宋" w:hAnsi="仿宋" w:eastAsia="仿宋" w:cs="仿宋"/>
          <w:sz w:val="32"/>
          <w:szCs w:val="32"/>
        </w:rPr>
        <w:t>外型尺寸（宽×深×高）mm：</w:t>
      </w:r>
      <w:r>
        <w:rPr>
          <w:rFonts w:hint="eastAsia" w:ascii="仿宋" w:hAnsi="仿宋" w:eastAsia="仿宋" w:cs="仿宋"/>
          <w:kern w:val="0"/>
          <w:sz w:val="32"/>
          <w:szCs w:val="32"/>
        </w:rPr>
        <w:t>≤1890×1950×2040 mm。</w:t>
      </w:r>
    </w:p>
    <w:p w14:paraId="0E5382F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6、</w:t>
      </w:r>
      <w:r>
        <w:rPr>
          <w:rFonts w:hint="eastAsia" w:ascii="仿宋" w:hAnsi="仿宋" w:eastAsia="仿宋" w:cs="仿宋"/>
          <w:sz w:val="32"/>
          <w:szCs w:val="32"/>
        </w:rPr>
        <w:t>满足国家轻工业服装洗涤机械标准QB/T2323-2017要求。</w:t>
      </w:r>
    </w:p>
    <w:p w14:paraId="3E69874D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7、生产厂家具有规范的生产管理，通过质量管理体系认证和环境管理体系认证、职业安全健康管理体系认证。</w:t>
      </w:r>
    </w:p>
    <w:p w14:paraId="226C2EC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8、水位控制系统：采用自动感应水位控制，水位高度可任意设置。</w:t>
      </w:r>
    </w:p>
    <w:p w14:paraId="5F30D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50kg全自动洗脱机技术需求：</w:t>
      </w:r>
    </w:p>
    <w:p w14:paraId="2A1E0579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★1、内筒、外缸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 xml:space="preserve">面板（后面板除外）均采用 304 不锈钢，整个洗涤缸系统悬空安装在弹簧和减震装置上，减震达 ≥ 97%，性能更稳定。  </w:t>
      </w:r>
    </w:p>
    <w:p w14:paraId="70D965E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★2、要求机器采用一体式轴承座，能够很好的保证水封和轴承的同心度，保证机器的使用寿命。</w:t>
      </w:r>
    </w:p>
    <w:p w14:paraId="1C7C8DD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★3、电机采用行业专用上置电机，电机的防护等级为IP55以上。</w:t>
      </w:r>
    </w:p>
    <w:p w14:paraId="3E4AAD6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4、采用可编程电脑自动控制,全电脑全中文人机对话操作界面，中文显示，≥30种不同的洗涤程序可供选择，故障自我诊断；</w:t>
      </w:r>
    </w:p>
    <w:p w14:paraId="749A0926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★5、额定容量50Kg；洗衣外缸（盛水缸）：≥1150*670mm；内筒≥1085*586mm；电加热功率kw≤27；外型尺寸（宽×深×高）mm：≤1620×1550×1900 mm</w:t>
      </w:r>
    </w:p>
    <w:p w14:paraId="1CE4763A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6、满足国家轻工业服装洗涤机械标准QB/T2323-2017要求。</w:t>
      </w:r>
    </w:p>
    <w:p w14:paraId="0487C83E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7、生产厂家具有规范的生产管理，通过质量管理体系认证和环境管理体系认证、职业安全健康管理体系认证。</w:t>
      </w:r>
    </w:p>
    <w:p w14:paraId="69E903E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8、水位控制系统：采用自动感应水位控制，水位高度可任意设置。</w:t>
      </w:r>
    </w:p>
    <w:p w14:paraId="6F248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25kg全自动洗脱机技术需求：</w:t>
      </w:r>
    </w:p>
    <w:p w14:paraId="74BB5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★1、内滚筒采用304不锈钢，网孔光滑，大幅减少对衣物在洗涤过程中的磨损。 </w:t>
      </w:r>
    </w:p>
    <w:p w14:paraId="2CC6B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</w:t>
      </w:r>
      <w:r>
        <w:rPr>
          <w:rFonts w:hint="eastAsia" w:ascii="仿宋" w:hAnsi="仿宋" w:eastAsia="仿宋" w:cs="仿宋"/>
          <w:bCs/>
          <w:sz w:val="32"/>
          <w:szCs w:val="32"/>
        </w:rPr>
        <w:t>采用复合减震，吸震系统，设备运行时非常平稳，振动小，</w:t>
      </w:r>
      <w:r>
        <w:rPr>
          <w:rFonts w:hint="eastAsia" w:ascii="仿宋" w:hAnsi="仿宋" w:eastAsia="仿宋" w:cs="仿宋"/>
          <w:sz w:val="32"/>
          <w:szCs w:val="32"/>
        </w:rPr>
        <w:t>性能更稳定，质量更加有保障。</w:t>
      </w:r>
    </w:p>
    <w:p w14:paraId="4750C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3、油封、输送管路均采用高品质极耐腐蚀材料加工而成，均对高浓度化学制剂起到绝佳的防护作用，极大的延长了机器的使用寿命。</w:t>
      </w:r>
    </w:p>
    <w:p w14:paraId="1AADE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★4、变频驱动设计，结合洗涤专用变频电机，提供了完美的洗涤驱动方案，适用各种洗涤需求，高效、节能。</w:t>
      </w:r>
    </w:p>
    <w:p w14:paraId="7A24D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5、故障自我诊断，准确确定故障点，维保更加方便。</w:t>
      </w:r>
    </w:p>
    <w:p w14:paraId="1B6632D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★6、额定容量25Kg；内筒≥840*487mm；电加热功率kw≤18；外型尺寸（宽×深×高）mm：≤1100×1160×1550 mm</w:t>
      </w:r>
    </w:p>
    <w:p w14:paraId="62AA216E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7、满足国家轻工业服装洗涤机械标准QB/T2323-2017要求。</w:t>
      </w:r>
    </w:p>
    <w:p w14:paraId="444413D9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8、生产厂家具有规范的生产管理，通过质量管理体系认证和环境管理体系认证、职业安全健康管理体系认证。</w:t>
      </w:r>
    </w:p>
    <w:p w14:paraId="6905FAB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9、水位控制系统：采用自动感应水位控制，水位高度可任意设置。</w:t>
      </w:r>
    </w:p>
    <w:p w14:paraId="3D000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100kg烘干机技术需求：</w:t>
      </w:r>
    </w:p>
    <w:p w14:paraId="62A3FAB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★1、高速烘干机，采用电加热，具备热能二次回收利用系统。</w:t>
      </w:r>
    </w:p>
    <w:p w14:paraId="1A5BA29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★2、进风道设计，机身外散热可二次利用，提高进风温度，降低能耗，有效降低环境温度。</w:t>
      </w:r>
    </w:p>
    <w:p w14:paraId="35B9A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3、顶部采用封闭结构，背进风风道，两道滤网。</w:t>
      </w:r>
    </w:p>
    <w:p w14:paraId="4773163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★4、高效率倾斜出料；毛绒收集器采用抽屉式结构。</w:t>
      </w:r>
    </w:p>
    <w:p w14:paraId="7A073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5、优质气动阀及电器元件，采用二级三角带减速传动，能耗比小于 1.74。</w:t>
      </w:r>
    </w:p>
    <w:p w14:paraId="38D56A4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★6、额定容量100Kg；内筒尺寸：1450*1220mm；宽深高≤1700*2000*2700mm。</w:t>
      </w:r>
    </w:p>
    <w:p w14:paraId="11FE1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3米三辊烫平机：</w:t>
      </w:r>
    </w:p>
    <w:p w14:paraId="296C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1、采用熨烫3米布草的3辊烫平机。</w:t>
      </w:r>
    </w:p>
    <w:p w14:paraId="5FEBA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★2、传动辊与烘筒材质为不锈钢，φ≥800mm，厚度≥4mm，压力容器材质304不锈钢。 </w:t>
      </w:r>
    </w:p>
    <w:p w14:paraId="1458C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3、电源：380V/50HZ，三相五线。</w:t>
      </w:r>
    </w:p>
    <w:p w14:paraId="6B6F3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4、满足国家轻工业服装洗涤机械标准QB/T2325-2017。</w:t>
      </w:r>
    </w:p>
    <w:p w14:paraId="73763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★5、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链条传动，保证前后辊之间传动差速。</w:t>
      </w:r>
    </w:p>
    <w:p w14:paraId="163C0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6、设有透明防夹挡板安全装置，既提高安全性又可对设备运行进行观察；双向安全开关，使用者操作使用更安全。</w:t>
      </w:r>
    </w:p>
    <w:p w14:paraId="2AD21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★7、具有减速器，采用变频控制减速系统，质量更优，寿命更长，采用传动差速设计，保证每一辊比前辊速度快3%，具有展平布草，提高熨烫效果的作用。</w:t>
      </w:r>
    </w:p>
    <w:p w14:paraId="22A61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8、工作速度可调，可与各种速度的折叠机配套。</w:t>
      </w:r>
    </w:p>
    <w:p w14:paraId="259FF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★9、电机为摆线针轮式减速电机。</w:t>
      </w:r>
    </w:p>
    <w:p w14:paraId="154EB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★10、外形尺寸mm（宽×深×高）：≤3810×3710×1350mm。</w:t>
      </w:r>
    </w:p>
    <w:p w14:paraId="02924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11、生产厂家具有规范的生产管理，通过质量管理体系认证和环境管理体系认证、职业安全健康管理体系认证。</w:t>
      </w:r>
    </w:p>
    <w:p w14:paraId="60C3D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12、加热方式：电加热。</w:t>
      </w:r>
    </w:p>
    <w:p w14:paraId="57996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3米折叠机：</w:t>
      </w:r>
    </w:p>
    <w:p w14:paraId="159FB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1、满足国家轻工业服装洗涤机械标准QB/T5127-2017。</w:t>
      </w:r>
    </w:p>
    <w:p w14:paraId="2BF56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★2、独有进布多位置光控，可智能纠正布草偏差。</w:t>
      </w:r>
    </w:p>
    <w:p w14:paraId="7FE8D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★3、卡布反转功能，便于维护和排故。</w:t>
      </w:r>
    </w:p>
    <w:p w14:paraId="1FA12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4、最大折叠长度4m，最大折叠宽度3m。</w:t>
      </w:r>
    </w:p>
    <w:p w14:paraId="08745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5、光电检测器，检测精确可靠，并自行调节。</w:t>
      </w:r>
    </w:p>
    <w:p w14:paraId="05473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6、采用模块化设计，自带双堆码及配套设备，保证机器的兼容性。</w:t>
      </w:r>
    </w:p>
    <w:p w14:paraId="7E923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★7、采用LED指示灯光电检测器，三至五折为刀折叠。</w:t>
      </w:r>
    </w:p>
    <w:p w14:paraId="2259A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8、采用PLC可编程控制器，可旋转液晶显示触摸屏操作系统。</w:t>
      </w:r>
    </w:p>
    <w:p w14:paraId="53915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★9、工作能力m/min： ≥60。</w:t>
      </w:r>
    </w:p>
    <w:p w14:paraId="0D20B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★10、具有四通道折叠功能,可双倍提高小型布草的熨平折叠能力,降低能耗。 </w:t>
      </w:r>
    </w:p>
    <w:p w14:paraId="32222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★11、外形尺寸mm（宽×深×高）： ≤4510×3010×1810。</w:t>
      </w:r>
    </w:p>
    <w:p w14:paraId="04F37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12、生产厂家具有规范的生产管理，通过质量管理体系认证和环境管理体系认证、职业安全健康管理体系认证。 </w:t>
      </w:r>
    </w:p>
    <w:p w14:paraId="28B6245E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4-2、900方污水处理设备采购要求及报价、参数:</w:t>
      </w:r>
    </w:p>
    <w:p w14:paraId="525CB65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投标人应按照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技术要求查看附件一</w:t>
      </w:r>
      <w:r>
        <w:rPr>
          <w:rFonts w:hint="eastAsia" w:ascii="仿宋" w:hAnsi="仿宋" w:eastAsia="仿宋" w:cs="仿宋"/>
          <w:sz w:val="32"/>
          <w:szCs w:val="32"/>
        </w:rPr>
        <w:t>合理报价，报价产品质量应具备国家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合规要求；</w:t>
      </w:r>
    </w:p>
    <w:p w14:paraId="6B63FBBD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报价应包含设备的制造、包装、仓储、运输、安装、调试、验收、售后、增值税专用发票。</w:t>
      </w:r>
    </w:p>
    <w:p w14:paraId="75BD7C7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报价中说明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采购需求设备</w:t>
      </w:r>
      <w:r>
        <w:rPr>
          <w:rFonts w:hint="eastAsia" w:ascii="仿宋" w:hAnsi="仿宋" w:eastAsia="仿宋" w:cs="仿宋"/>
          <w:sz w:val="32"/>
          <w:szCs w:val="32"/>
        </w:rPr>
        <w:t>技术参数、生产厂家、产地及供货日期、安装工期、质保期、售后服务情况等。</w:t>
      </w:r>
    </w:p>
    <w:p w14:paraId="219A4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3" w:firstLineChars="200"/>
        <w:textAlignment w:val="auto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4-3、节水灌溉、雨水收集利用系统</w:t>
      </w:r>
    </w:p>
    <w:tbl>
      <w:tblPr>
        <w:tblStyle w:val="29"/>
        <w:tblW w:w="495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903"/>
        <w:gridCol w:w="4866"/>
        <w:gridCol w:w="945"/>
        <w:gridCol w:w="1185"/>
      </w:tblGrid>
      <w:tr w14:paraId="7C8D6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367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5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2A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A8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5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A4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CEB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</w:tr>
      <w:tr w14:paraId="518E2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B9E2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080A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33B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7D2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5112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F6E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198D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010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B80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F7E6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F60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91B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42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5EB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C96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1.室外给水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2.材质、规格:PE管 De32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3.连接形式:电熔连接或机械连接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4.压力试验及吹、洗设计要求生活给水管试验压力应为系统工作压力+0.5MPa,且不得小于0.9MPa，清洗和消毒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5.详见图纸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19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10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1084</w:t>
            </w:r>
          </w:p>
        </w:tc>
      </w:tr>
      <w:tr w14:paraId="0A647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0D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41D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B97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1.室外给水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2.材质、规格:PE管 De50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3.连接形式:电熔连接或机械连接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4.压力试验及吹、洗设计要求生活给水管试验压力应为系统工作压力+0.5MPa,且不得小于0.9MPa，清洗和消毒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5.详见图纸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069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B5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</w:tr>
      <w:tr w14:paraId="0324C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7A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7C7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8E1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1.室外给水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2.材质、规格:PE管 De63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3.连接形式:电熔连接或机械连接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4.压力试验及吹、洗设计要求生活给水管试验压力应为系统工作压力+0.5MPa,且不得小于0.9MPa，清洗和消毒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5.详见图纸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E2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EC9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810</w:t>
            </w:r>
          </w:p>
        </w:tc>
      </w:tr>
      <w:tr w14:paraId="1DB84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78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975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喷灌配件安装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F35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1.科雨PRO-S 78004-RN300 地埋旋转微喷头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2.工作压力为0.25MPA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3.单个喷头流量0.3-0.4m3/h,喷洒半径6.7-9.1m。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096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09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 w14:paraId="06F25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9F6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42C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喷灌配件安装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43B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1.科雨PRO-S 78004-RN200 地埋旋转微喷头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2.工作压力为0.25MPA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3.单个喷头流量0.19-0.33m3/h,喷洒半径6.4m。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B6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B6A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</w:tr>
      <w:tr w14:paraId="4CA6E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6C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38F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喷灌配件安装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8F0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1.科雨PRO-S 78004-RN100 地埋旋转微喷头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2.工作压力为0.25MPA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3.单个喷头流量0.1-0.22m3/h,喷洒半径3m。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F3B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1D2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</w:tr>
      <w:tr w14:paraId="681F1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C8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A65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电磁阀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CE7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1.电磁阀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0AB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781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</w:tr>
      <w:tr w14:paraId="3F942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AA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DA8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取水阀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7AA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1.类型:取水阀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2.规格、压力等级: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3.连接形式:丝接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B8A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90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</w:tr>
      <w:tr w14:paraId="6B83F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E8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9A0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球阀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431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1.类型:球阀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2.规格、压力等级: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3.连接形式:丝接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BEC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AB5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</w:tr>
      <w:tr w14:paraId="1056B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D8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85D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泄水阀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9B7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1.类型:泄水阀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2.规格、压力等级: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3.连接形式:丝接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6C9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DD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</w:tr>
      <w:tr w14:paraId="0318A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C9B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623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配管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C58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1.埋地敷设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33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12F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2242</w:t>
            </w:r>
          </w:p>
        </w:tc>
      </w:tr>
      <w:tr w14:paraId="36CCC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B3D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338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喷灌管线安装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A21B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DDA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BF7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2242</w:t>
            </w:r>
          </w:p>
        </w:tc>
      </w:tr>
      <w:tr w14:paraId="09C08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CA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5CE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控制箱</w:t>
            </w:r>
          </w:p>
        </w:tc>
        <w:tc>
          <w:tcPr>
            <w:tcW w:w="2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CA0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1.不锈钢控制器保护箱（400mm*500mm*200mm）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2.包括模块控制器和雨量传感器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E5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0E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</w:tbl>
    <w:p w14:paraId="456EC302">
      <w:pPr>
        <w:adjustRightInd w:val="0"/>
        <w:spacing w:line="56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</w:p>
    <w:p w14:paraId="1AF034E8">
      <w:pPr>
        <w:adjustRightInd w:val="0"/>
        <w:spacing w:line="56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</w:p>
    <w:p w14:paraId="4CF87D70">
      <w:pPr>
        <w:adjustRightInd w:val="0"/>
        <w:spacing w:line="56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</w:p>
    <w:tbl>
      <w:tblPr>
        <w:tblStyle w:val="29"/>
        <w:tblW w:w="1274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725"/>
        <w:gridCol w:w="1899"/>
        <w:gridCol w:w="711"/>
        <w:gridCol w:w="630"/>
        <w:gridCol w:w="675"/>
        <w:gridCol w:w="2430"/>
      </w:tblGrid>
      <w:tr w14:paraId="5139A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6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7E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b/>
                <w:bCs/>
                <w:kern w:val="0"/>
                <w:sz w:val="15"/>
                <w:szCs w:val="15"/>
              </w:rPr>
              <w:t>配置清单</w:t>
            </w:r>
          </w:p>
        </w:tc>
      </w:tr>
      <w:tr w14:paraId="77C24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F0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序号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4C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设备名称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BF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规格型号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8C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品牌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F49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单位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EB5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数量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5B3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备注</w:t>
            </w:r>
          </w:p>
        </w:tc>
      </w:tr>
      <w:tr w14:paraId="3BE80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6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noWrap/>
            <w:vAlign w:val="center"/>
          </w:tcPr>
          <w:p w14:paraId="69C68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ascii="宋体" w:hAnsi="宋体" w:eastAsia="宋体" w:cs="Tahoma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b/>
                <w:bCs/>
                <w:kern w:val="0"/>
                <w:sz w:val="15"/>
                <w:szCs w:val="15"/>
              </w:rPr>
              <w:t>一、雨水回收主要设备</w:t>
            </w:r>
          </w:p>
        </w:tc>
      </w:tr>
      <w:tr w14:paraId="65072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67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A-1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6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截污提篮沉淀装置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1F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02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C0C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9B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3D7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材质：PE+不锈钢</w:t>
            </w:r>
          </w:p>
        </w:tc>
      </w:tr>
      <w:tr w14:paraId="4FF29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41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A-2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1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埋地一体机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78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处理量：15m³/h，          尺寸：850*850*1000（mm），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AB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60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2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509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外壳材质：不锈钢</w:t>
            </w:r>
            <w:r>
              <w:rPr>
                <w:rFonts w:hint="eastAsia" w:ascii="宋体" w:hAnsi="宋体" w:eastAsia="宋体" w:cs="Tahoma"/>
                <w:kern w:val="0"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含：过滤砂缸，消毒，  集过滤、消毒、排污于一体</w:t>
            </w:r>
          </w:p>
        </w:tc>
      </w:tr>
      <w:tr w14:paraId="62B00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33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A-3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2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PP模块蓄水池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37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color w:val="FF0000"/>
                <w:kern w:val="0"/>
                <w:sz w:val="15"/>
                <w:szCs w:val="15"/>
              </w:rPr>
              <w:t>单层垂直承压</w:t>
            </w: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：</w:t>
            </w:r>
            <w:r>
              <w:rPr>
                <w:rFonts w:hint="eastAsia" w:ascii="宋体" w:hAnsi="宋体" w:eastAsia="宋体" w:cs="Tahoma"/>
                <w:color w:val="FF0000"/>
                <w:kern w:val="0"/>
                <w:sz w:val="15"/>
                <w:szCs w:val="15"/>
              </w:rPr>
              <w:t>450KN/㎡</w:t>
            </w: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，            水池尺寸：</w:t>
            </w:r>
            <w:r>
              <w:rPr>
                <w:rFonts w:hint="eastAsia" w:ascii="宋体" w:hAnsi="宋体" w:eastAsia="宋体" w:cs="Tahoma"/>
                <w:color w:val="FF0000"/>
                <w:kern w:val="0"/>
                <w:sz w:val="15"/>
                <w:szCs w:val="15"/>
              </w:rPr>
              <w:t>15*10*2.0</w:t>
            </w: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 (m）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0F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AE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m³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26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color w:val="FF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color w:val="FF0000"/>
                <w:kern w:val="0"/>
                <w:sz w:val="15"/>
                <w:szCs w:val="15"/>
              </w:rPr>
              <w:t>300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D95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柱状立柱型，包含主板、侧板、连接件 材质：PP                                 单片尺寸：1000*1000*500（mm）                </w:t>
            </w:r>
          </w:p>
        </w:tc>
      </w:tr>
      <w:tr w14:paraId="5705D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81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A-4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61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PP模块清水池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6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color w:val="FF0000"/>
                <w:kern w:val="0"/>
                <w:sz w:val="15"/>
                <w:szCs w:val="15"/>
              </w:rPr>
              <w:t>单层垂直承压：450KN/㎡</w:t>
            </w: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，            水池尺寸：5</w:t>
            </w:r>
            <w:r>
              <w:rPr>
                <w:rFonts w:hint="eastAsia" w:ascii="宋体" w:hAnsi="宋体" w:eastAsia="宋体" w:cs="Tahoma"/>
                <w:color w:val="FF0000"/>
                <w:kern w:val="0"/>
                <w:sz w:val="15"/>
                <w:szCs w:val="15"/>
              </w:rPr>
              <w:t>*10*2.</w:t>
            </w: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 (m）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E84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C2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m³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5B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color w:val="FF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color w:val="FF0000"/>
                <w:kern w:val="0"/>
                <w:sz w:val="15"/>
                <w:szCs w:val="15"/>
              </w:rPr>
              <w:t>100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1CC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柱状立柱型，包含主板、侧板、连接件 材质：PP                                   单片尺寸： 1000*1000*500（mm               </w:t>
            </w:r>
          </w:p>
        </w:tc>
      </w:tr>
      <w:tr w14:paraId="4E91A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74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A-5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D2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蓄水池反冲洗系统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88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主管De63，支管De32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0C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3F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58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305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15"/>
                <w:szCs w:val="15"/>
              </w:rPr>
              <w:t>管材材质：PE</w:t>
            </w:r>
          </w:p>
        </w:tc>
      </w:tr>
      <w:tr w14:paraId="326C6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F2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A-6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31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两布一膜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65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700g/㎡，               全新料长丝复合土工布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CFD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8B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㎡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68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800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951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HDPE防渗膜</w:t>
            </w:r>
          </w:p>
        </w:tc>
      </w:tr>
      <w:tr w14:paraId="6B27A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6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noWrap/>
            <w:vAlign w:val="center"/>
          </w:tcPr>
          <w:p w14:paraId="577D9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ascii="宋体" w:hAnsi="宋体" w:eastAsia="宋体" w:cs="Tahom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000000"/>
                <w:kern w:val="0"/>
                <w:sz w:val="15"/>
                <w:szCs w:val="15"/>
              </w:rPr>
              <w:t>二、控制系统</w:t>
            </w:r>
          </w:p>
        </w:tc>
      </w:tr>
      <w:tr w14:paraId="735EF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C3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B-1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A6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控制柜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7C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 材质：室外不锈钢，    尺寸：600*250*800（mm）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09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AF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34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8D9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不锈钢机箱，正泰电器，5.5KW变频器，PLC+触屏人机界面。自动手动控制</w:t>
            </w:r>
          </w:p>
        </w:tc>
      </w:tr>
      <w:tr w14:paraId="204BE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6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noWrap/>
            <w:vAlign w:val="center"/>
          </w:tcPr>
          <w:p w14:paraId="2A484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ascii="宋体" w:hAnsi="宋体" w:eastAsia="宋体" w:cs="Tahoma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b/>
                <w:bCs/>
                <w:kern w:val="0"/>
                <w:sz w:val="15"/>
                <w:szCs w:val="15"/>
              </w:rPr>
              <w:t>三、管材配件</w:t>
            </w:r>
          </w:p>
        </w:tc>
      </w:tr>
      <w:tr w14:paraId="1CAEA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B4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C-1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77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水池检查井架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AD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800*800*2000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59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定制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45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5F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7D5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材质：不锈钢</w:t>
            </w:r>
          </w:p>
        </w:tc>
      </w:tr>
      <w:tr w14:paraId="1402A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27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C-2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56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水池检查井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FC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Φ630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35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国优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9E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510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9D8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材质：</w:t>
            </w: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HDPE</w:t>
            </w:r>
          </w:p>
        </w:tc>
      </w:tr>
      <w:tr w14:paraId="42C1D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67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C-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5"/>
                <w:szCs w:val="15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98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防坠网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D8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　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7D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国优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BE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ED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221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　</w:t>
            </w:r>
          </w:p>
        </w:tc>
      </w:tr>
      <w:tr w14:paraId="32AF2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E8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C-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5"/>
                <w:szCs w:val="15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9F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浮球液位传感器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659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　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31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国优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F6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套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8A3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EF4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　</w:t>
            </w:r>
          </w:p>
        </w:tc>
      </w:tr>
      <w:tr w14:paraId="3A685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6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noWrap/>
            <w:vAlign w:val="center"/>
          </w:tcPr>
          <w:p w14:paraId="415A0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ascii="宋体" w:hAnsi="宋体" w:eastAsia="宋体" w:cs="Tahoma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b/>
                <w:bCs/>
                <w:kern w:val="0"/>
                <w:sz w:val="15"/>
                <w:szCs w:val="15"/>
              </w:rPr>
              <w:t>四、水泵</w:t>
            </w:r>
          </w:p>
        </w:tc>
      </w:tr>
      <w:tr w14:paraId="416C1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1E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D-1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2F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蓄水池排污泵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5B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   Q=10m³/h H=10m P=0.75kW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98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上海凯迪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66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AE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005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潜水泵，一用，国标</w:t>
            </w:r>
          </w:p>
        </w:tc>
      </w:tr>
      <w:tr w14:paraId="2DD44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C7545">
            <w:pPr>
              <w:widowControl/>
              <w:jc w:val="center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D-2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B58EB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反冲洗泵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11866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  Q=10m³/h H=20m P=1.5kW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6A1E9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上海凯迪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9BDD7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21118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EB8057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潜水泵，一用，国标</w:t>
            </w:r>
          </w:p>
        </w:tc>
      </w:tr>
      <w:tr w14:paraId="087E7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A8830">
            <w:pPr>
              <w:widowControl/>
              <w:jc w:val="center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D-3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C3AF2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雨水提升泵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B3B3D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   Q=15m³/h H=20m P=1.5kW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BCEB2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上海凯迪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739D1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73A58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34E903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潜水泵，一用，国标</w:t>
            </w:r>
          </w:p>
        </w:tc>
      </w:tr>
      <w:tr w14:paraId="0C5C4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A2F59">
            <w:pPr>
              <w:widowControl/>
              <w:jc w:val="center"/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D-4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D0E1E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雨水供水泵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927E2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 xml:space="preserve">   Q=15m³/h H=60m P=4.0kW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758DA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浙江雄林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8379E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7CAEC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ED8F20">
            <w:pPr>
              <w:widowControl/>
              <w:jc w:val="center"/>
              <w:rPr>
                <w:rFonts w:ascii="宋体" w:hAnsi="宋体" w:eastAsia="宋体" w:cs="Tahoma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Tahoma"/>
                <w:kern w:val="0"/>
                <w:sz w:val="15"/>
                <w:szCs w:val="15"/>
              </w:rPr>
              <w:t>不锈钢多级泵，一用，国标</w:t>
            </w:r>
          </w:p>
        </w:tc>
      </w:tr>
      <w:bookmarkEnd w:id="0"/>
    </w:tbl>
    <w:p w14:paraId="226429AC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投标人资格要求及注意事项：</w:t>
      </w:r>
    </w:p>
    <w:p w14:paraId="779F7390"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投标人应为在国家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市场监管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、税务登记注册，并具备独立法人资格。</w:t>
      </w:r>
    </w:p>
    <w:p w14:paraId="3B21517A"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投标人不得相互串通投标，不得以他人名义投标或者其他方式弄虚作假骗取中标，不得以任何方式干扰、影响招标工作，若有违反本规定，招标人将取消其投标资格，按废标处理，不得参与本公司今后的招标活动。</w:t>
      </w:r>
    </w:p>
    <w:p w14:paraId="083F7A09"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3、参加招标的投标人，需在现场提交自己单位（厂家）的营业执照、法人授权书、企业资质等有效证件的原件或复印件（盖公章）。</w:t>
      </w:r>
    </w:p>
    <w:p w14:paraId="6585CBAB">
      <w:pPr>
        <w:pStyle w:val="2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六、报名方式及截止日期：</w:t>
      </w:r>
    </w:p>
    <w:p w14:paraId="167BB7DF">
      <w:pPr>
        <w:pStyle w:val="2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1、将报名材料：单位的营业执照、法人授权书、安全生产许可证、企业资质等有效证件（PDF格式）、投标报名表（Excel格式），发至公司邮箱gszljt@126.com。</w:t>
      </w:r>
    </w:p>
    <w:p w14:paraId="7DF06FBE">
      <w:pPr>
        <w:pStyle w:val="2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2、报名截止时间：2025年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日18:00。</w:t>
      </w:r>
    </w:p>
    <w:p w14:paraId="5CBB74D7">
      <w:pPr>
        <w:pStyle w:val="2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3、报名、招标清单领取，请与18093200800电话联系。</w:t>
      </w:r>
    </w:p>
    <w:p w14:paraId="158F52C1">
      <w:pPr>
        <w:pStyle w:val="2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七、开标时间：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2025年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: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0。</w:t>
      </w:r>
    </w:p>
    <w:p w14:paraId="7D839080">
      <w:pPr>
        <w:pStyle w:val="2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八、开标地点：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长中附医定西医院项目二标段项目部会议室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 </w:t>
      </w:r>
    </w:p>
    <w:p w14:paraId="24FDBA7D">
      <w:pPr>
        <w:pStyle w:val="2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九、评标方式：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本次招标采用投标人报价、现场竞价、最终报价等环节来评审，最终按照合理低价中标的形式来确定中标单位（厂家）。</w:t>
      </w:r>
    </w:p>
    <w:p w14:paraId="6DB67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十、集团公司监督电话：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18093200800。</w:t>
      </w:r>
      <w:bookmarkEnd w:id="5"/>
    </w:p>
    <w:p w14:paraId="6ED611C3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br w:type="page"/>
      </w:r>
    </w:p>
    <w:p w14:paraId="7F28B94C">
      <w:pPr>
        <w:spacing w:line="5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</w:t>
      </w:r>
      <w:r>
        <w:rPr>
          <w:rFonts w:ascii="宋体" w:hAnsi="宋体" w:eastAsia="宋体" w:cs="宋体"/>
          <w:b/>
          <w:bCs/>
          <w:sz w:val="28"/>
          <w:szCs w:val="28"/>
        </w:rPr>
        <w:t>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技术要求</w:t>
      </w:r>
    </w:p>
    <w:tbl>
      <w:tblPr>
        <w:tblStyle w:val="30"/>
        <w:tblpPr w:leftFromText="180" w:rightFromText="180" w:vertAnchor="page" w:horzAnchor="margin" w:tblpXSpec="center" w:tblpY="2689"/>
        <w:tblW w:w="9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1"/>
        <w:gridCol w:w="1970"/>
        <w:gridCol w:w="734"/>
        <w:gridCol w:w="734"/>
        <w:gridCol w:w="3487"/>
        <w:gridCol w:w="734"/>
      </w:tblGrid>
      <w:tr w14:paraId="3E4B9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34C33736">
            <w:pPr>
              <w:jc w:val="center"/>
            </w:pPr>
            <w:r>
              <w:t>名</w:t>
            </w:r>
            <w:r>
              <w:rPr>
                <w:rFonts w:hint="eastAsia"/>
              </w:rPr>
              <w:t xml:space="preserve">  </w:t>
            </w:r>
            <w:r>
              <w:t>称</w:t>
            </w:r>
          </w:p>
        </w:tc>
        <w:tc>
          <w:tcPr>
            <w:tcW w:w="1970" w:type="dxa"/>
            <w:noWrap w:val="0"/>
            <w:vAlign w:val="center"/>
          </w:tcPr>
          <w:p w14:paraId="3504AF7E">
            <w:pPr>
              <w:jc w:val="center"/>
            </w:pPr>
            <w:r>
              <w:t>规</w:t>
            </w:r>
            <w:r>
              <w:rPr>
                <w:rFonts w:hint="eastAsia"/>
              </w:rPr>
              <w:t xml:space="preserve">  </w:t>
            </w:r>
            <w:r>
              <w:t>格</w:t>
            </w:r>
          </w:p>
        </w:tc>
        <w:tc>
          <w:tcPr>
            <w:tcW w:w="734" w:type="dxa"/>
            <w:noWrap w:val="0"/>
            <w:vAlign w:val="center"/>
          </w:tcPr>
          <w:p w14:paraId="7076ADBA">
            <w:pPr>
              <w:jc w:val="center"/>
            </w:pPr>
            <w:r>
              <w:t>单位</w:t>
            </w:r>
          </w:p>
        </w:tc>
        <w:tc>
          <w:tcPr>
            <w:tcW w:w="734" w:type="dxa"/>
            <w:noWrap w:val="0"/>
            <w:vAlign w:val="center"/>
          </w:tcPr>
          <w:p w14:paraId="106AE0AD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3487" w:type="dxa"/>
            <w:noWrap w:val="0"/>
            <w:vAlign w:val="center"/>
          </w:tcPr>
          <w:p w14:paraId="2CA52A1E">
            <w:pPr>
              <w:jc w:val="center"/>
            </w:pPr>
            <w:r>
              <w:t>型</w:t>
            </w:r>
            <w:r>
              <w:rPr>
                <w:rFonts w:hint="eastAsia"/>
              </w:rPr>
              <w:t xml:space="preserve">  </w:t>
            </w:r>
            <w:r>
              <w:t>号</w:t>
            </w:r>
          </w:p>
        </w:tc>
        <w:tc>
          <w:tcPr>
            <w:tcW w:w="734" w:type="dxa"/>
            <w:noWrap w:val="0"/>
            <w:vAlign w:val="center"/>
          </w:tcPr>
          <w:p w14:paraId="3DF8BB56">
            <w:pPr>
              <w:jc w:val="center"/>
            </w:pPr>
            <w:r>
              <w:t>备注</w:t>
            </w:r>
          </w:p>
        </w:tc>
      </w:tr>
      <w:tr w14:paraId="13A6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51" w:type="dxa"/>
            <w:noWrap w:val="0"/>
            <w:vAlign w:val="center"/>
          </w:tcPr>
          <w:p w14:paraId="57502290">
            <w:pPr>
              <w:jc w:val="center"/>
            </w:pPr>
            <w:bookmarkStart w:id="2" w:name="OLE_LINK3" w:colFirst="2" w:colLast="67"/>
            <w:bookmarkStart w:id="3" w:name="OLE_LINK2" w:colFirst="2" w:colLast="67"/>
            <w:r>
              <w:rPr>
                <w:rFonts w:hint="eastAsia"/>
              </w:rPr>
              <w:t>一体化污水处理设备</w:t>
            </w:r>
          </w:p>
        </w:tc>
        <w:tc>
          <w:tcPr>
            <w:tcW w:w="1970" w:type="dxa"/>
            <w:noWrap w:val="0"/>
            <w:vAlign w:val="center"/>
          </w:tcPr>
          <w:p w14:paraId="7B2871DE">
            <w:pPr>
              <w:jc w:val="center"/>
            </w:pPr>
            <w:r>
              <w:rPr>
                <w:rFonts w:hint="eastAsia"/>
              </w:rPr>
              <w:t>42x3x3米</w:t>
            </w:r>
          </w:p>
        </w:tc>
        <w:tc>
          <w:tcPr>
            <w:tcW w:w="734" w:type="dxa"/>
            <w:noWrap w:val="0"/>
            <w:vAlign w:val="center"/>
          </w:tcPr>
          <w:p w14:paraId="042AAE67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6E65149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6DAE0ACA">
            <w:pPr>
              <w:jc w:val="center"/>
            </w:pPr>
            <w:r>
              <w:rPr>
                <w:rFonts w:hint="eastAsia"/>
              </w:rPr>
              <w:t>Q235B材质，8mm厚，如强防腐</w:t>
            </w:r>
          </w:p>
        </w:tc>
        <w:tc>
          <w:tcPr>
            <w:tcW w:w="734" w:type="dxa"/>
            <w:noWrap w:val="0"/>
            <w:vAlign w:val="center"/>
          </w:tcPr>
          <w:p w14:paraId="1A57B76E">
            <w:pPr>
              <w:jc w:val="center"/>
            </w:pPr>
          </w:p>
        </w:tc>
      </w:tr>
      <w:bookmarkEnd w:id="2"/>
      <w:bookmarkEnd w:id="3"/>
      <w:tr w14:paraId="7F45E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08B26A29">
            <w:pPr>
              <w:jc w:val="center"/>
            </w:pPr>
            <w:r>
              <w:rPr>
                <w:rFonts w:hint="eastAsia"/>
              </w:rPr>
              <w:t>格栅</w:t>
            </w:r>
          </w:p>
        </w:tc>
        <w:tc>
          <w:tcPr>
            <w:tcW w:w="1970" w:type="dxa"/>
            <w:noWrap w:val="0"/>
            <w:vAlign w:val="center"/>
          </w:tcPr>
          <w:p w14:paraId="0D003772">
            <w:pPr>
              <w:jc w:val="center"/>
            </w:pPr>
            <w:r>
              <w:t>700x700x700 3mm</w:t>
            </w:r>
          </w:p>
        </w:tc>
        <w:tc>
          <w:tcPr>
            <w:tcW w:w="734" w:type="dxa"/>
            <w:noWrap w:val="0"/>
            <w:vAlign w:val="center"/>
          </w:tcPr>
          <w:p w14:paraId="71E14799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5A0592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1201CEFD">
            <w:pPr>
              <w:jc w:val="center"/>
            </w:pPr>
            <w:r>
              <w:rPr>
                <w:rFonts w:hint="eastAsia"/>
              </w:rPr>
              <w:t>304不锈钢，含滑轨、提升装置</w:t>
            </w:r>
          </w:p>
        </w:tc>
        <w:tc>
          <w:tcPr>
            <w:tcW w:w="734" w:type="dxa"/>
            <w:noWrap w:val="0"/>
            <w:vAlign w:val="center"/>
          </w:tcPr>
          <w:p w14:paraId="7A93865D">
            <w:pPr>
              <w:jc w:val="center"/>
            </w:pPr>
          </w:p>
        </w:tc>
      </w:tr>
      <w:tr w14:paraId="0C55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772C4E39">
            <w:pPr>
              <w:jc w:val="center"/>
            </w:pPr>
            <w:r>
              <w:rPr>
                <w:rFonts w:hint="eastAsia"/>
              </w:rPr>
              <w:t>调节池提升泵</w:t>
            </w:r>
          </w:p>
        </w:tc>
        <w:tc>
          <w:tcPr>
            <w:tcW w:w="1970" w:type="dxa"/>
            <w:noWrap w:val="0"/>
            <w:vAlign w:val="center"/>
          </w:tcPr>
          <w:p w14:paraId="5A388F4F">
            <w:pPr>
              <w:jc w:val="center"/>
            </w:pPr>
            <w:r>
              <w:t>80WQ40-15-3</w:t>
            </w:r>
          </w:p>
        </w:tc>
        <w:tc>
          <w:tcPr>
            <w:tcW w:w="734" w:type="dxa"/>
            <w:noWrap w:val="0"/>
            <w:vAlign w:val="center"/>
          </w:tcPr>
          <w:p w14:paraId="4E997310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1E60FF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87" w:type="dxa"/>
            <w:noWrap w:val="0"/>
            <w:vAlign w:val="center"/>
          </w:tcPr>
          <w:p w14:paraId="526168DC">
            <w:pPr>
              <w:jc w:val="center"/>
            </w:pPr>
            <w:bookmarkStart w:id="4" w:name="OLE_LINK1"/>
            <w:r>
              <w:rPr>
                <w:rFonts w:hint="eastAsia"/>
              </w:rPr>
              <w:t>潜水泵，带自耦装置</w:t>
            </w:r>
            <w:bookmarkEnd w:id="4"/>
          </w:p>
        </w:tc>
        <w:tc>
          <w:tcPr>
            <w:tcW w:w="734" w:type="dxa"/>
            <w:noWrap w:val="0"/>
            <w:vAlign w:val="center"/>
          </w:tcPr>
          <w:p w14:paraId="05106B9B">
            <w:pPr>
              <w:jc w:val="center"/>
            </w:pPr>
          </w:p>
        </w:tc>
      </w:tr>
      <w:tr w14:paraId="2BEC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51" w:type="dxa"/>
            <w:noWrap w:val="0"/>
            <w:vAlign w:val="center"/>
          </w:tcPr>
          <w:p w14:paraId="2ED43C53">
            <w:pPr>
              <w:jc w:val="center"/>
            </w:pPr>
            <w:r>
              <w:rPr>
                <w:rFonts w:hint="eastAsia"/>
              </w:rPr>
              <w:t>事故池提升泵</w:t>
            </w:r>
          </w:p>
        </w:tc>
        <w:tc>
          <w:tcPr>
            <w:tcW w:w="1970" w:type="dxa"/>
            <w:noWrap w:val="0"/>
            <w:vAlign w:val="center"/>
          </w:tcPr>
          <w:p w14:paraId="78EA4DF0">
            <w:pPr>
              <w:jc w:val="center"/>
            </w:pPr>
            <w:r>
              <w:t>80WQ40-15-3</w:t>
            </w:r>
          </w:p>
        </w:tc>
        <w:tc>
          <w:tcPr>
            <w:tcW w:w="734" w:type="dxa"/>
            <w:noWrap w:val="0"/>
            <w:vAlign w:val="center"/>
          </w:tcPr>
          <w:p w14:paraId="15266E45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033294C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87" w:type="dxa"/>
            <w:noWrap w:val="0"/>
            <w:vAlign w:val="center"/>
          </w:tcPr>
          <w:p w14:paraId="235FE8A5">
            <w:pPr>
              <w:jc w:val="center"/>
            </w:pPr>
            <w:r>
              <w:rPr>
                <w:rFonts w:hint="eastAsia"/>
              </w:rPr>
              <w:t>潜水泵，带自耦装置</w:t>
            </w:r>
          </w:p>
        </w:tc>
        <w:tc>
          <w:tcPr>
            <w:tcW w:w="734" w:type="dxa"/>
            <w:noWrap w:val="0"/>
            <w:vAlign w:val="center"/>
          </w:tcPr>
          <w:p w14:paraId="3B809347">
            <w:pPr>
              <w:jc w:val="center"/>
            </w:pPr>
          </w:p>
        </w:tc>
      </w:tr>
      <w:tr w14:paraId="244BA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38783B9E">
            <w:pPr>
              <w:jc w:val="center"/>
            </w:pPr>
            <w:r>
              <w:rPr>
                <w:rFonts w:hint="eastAsia"/>
              </w:rPr>
              <w:t>曝气风机</w:t>
            </w:r>
          </w:p>
        </w:tc>
        <w:tc>
          <w:tcPr>
            <w:tcW w:w="1970" w:type="dxa"/>
            <w:noWrap w:val="0"/>
            <w:vAlign w:val="center"/>
          </w:tcPr>
          <w:p w14:paraId="68A2B68B">
            <w:pPr>
              <w:jc w:val="center"/>
            </w:pPr>
            <w:r>
              <w:rPr>
                <w:rFonts w:hint="eastAsia"/>
              </w:rPr>
              <w:t>80S</w:t>
            </w:r>
            <w:r>
              <w:t>R-5.5</w:t>
            </w:r>
          </w:p>
        </w:tc>
        <w:tc>
          <w:tcPr>
            <w:tcW w:w="734" w:type="dxa"/>
            <w:noWrap w:val="0"/>
            <w:vAlign w:val="center"/>
          </w:tcPr>
          <w:p w14:paraId="20CAE575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05B23E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87" w:type="dxa"/>
            <w:noWrap w:val="0"/>
            <w:vAlign w:val="center"/>
          </w:tcPr>
          <w:p w14:paraId="1823A908">
            <w:pPr>
              <w:jc w:val="center"/>
            </w:pPr>
            <w:r>
              <w:rPr>
                <w:rFonts w:hint="eastAsia"/>
              </w:rPr>
              <w:t>罗茨</w:t>
            </w:r>
            <w:r>
              <w:rPr>
                <w:rFonts w:hint="eastAsia"/>
                <w:lang w:val="en-US" w:eastAsia="zh-CN"/>
              </w:rPr>
              <w:t>风</w:t>
            </w:r>
            <w:r>
              <w:rPr>
                <w:rFonts w:hint="eastAsia"/>
              </w:rPr>
              <w:t>机，带消音器</w:t>
            </w:r>
          </w:p>
        </w:tc>
        <w:tc>
          <w:tcPr>
            <w:tcW w:w="734" w:type="dxa"/>
            <w:noWrap w:val="0"/>
            <w:vAlign w:val="center"/>
          </w:tcPr>
          <w:p w14:paraId="3F1A96E7">
            <w:pPr>
              <w:jc w:val="center"/>
            </w:pPr>
          </w:p>
        </w:tc>
      </w:tr>
      <w:tr w14:paraId="4485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51" w:type="dxa"/>
            <w:noWrap w:val="0"/>
            <w:vAlign w:val="center"/>
          </w:tcPr>
          <w:p w14:paraId="11735A4D">
            <w:pPr>
              <w:jc w:val="center"/>
            </w:pPr>
            <w:r>
              <w:rPr>
                <w:rFonts w:hint="eastAsia"/>
              </w:rPr>
              <w:t>加药消毒装置</w:t>
            </w:r>
          </w:p>
        </w:tc>
        <w:tc>
          <w:tcPr>
            <w:tcW w:w="1970" w:type="dxa"/>
            <w:noWrap w:val="0"/>
            <w:vAlign w:val="center"/>
          </w:tcPr>
          <w:p w14:paraId="083C0DA3">
            <w:pPr>
              <w:jc w:val="center"/>
            </w:pPr>
            <w:r>
              <w:rPr>
                <w:rFonts w:hint="eastAsia"/>
              </w:rPr>
              <w:t>1000L</w:t>
            </w:r>
          </w:p>
        </w:tc>
        <w:tc>
          <w:tcPr>
            <w:tcW w:w="734" w:type="dxa"/>
            <w:noWrap w:val="0"/>
            <w:vAlign w:val="center"/>
          </w:tcPr>
          <w:p w14:paraId="5B245746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1EA5C4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87" w:type="dxa"/>
            <w:noWrap w:val="0"/>
            <w:vAlign w:val="center"/>
          </w:tcPr>
          <w:p w14:paraId="06C07C04">
            <w:pPr>
              <w:jc w:val="center"/>
            </w:pPr>
            <w:r>
              <w:rPr>
                <w:rFonts w:hint="eastAsia"/>
              </w:rPr>
              <w:t>含搅拌机、计量泵</w:t>
            </w:r>
          </w:p>
        </w:tc>
        <w:tc>
          <w:tcPr>
            <w:tcW w:w="734" w:type="dxa"/>
            <w:noWrap w:val="0"/>
            <w:vAlign w:val="center"/>
          </w:tcPr>
          <w:p w14:paraId="3575B870">
            <w:pPr>
              <w:jc w:val="center"/>
            </w:pPr>
          </w:p>
        </w:tc>
      </w:tr>
      <w:tr w14:paraId="4785D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1B61CC9D">
            <w:pPr>
              <w:jc w:val="center"/>
            </w:pPr>
            <w:r>
              <w:rPr>
                <w:rFonts w:hint="eastAsia"/>
              </w:rPr>
              <w:t>碳源投加装置</w:t>
            </w:r>
          </w:p>
        </w:tc>
        <w:tc>
          <w:tcPr>
            <w:tcW w:w="1970" w:type="dxa"/>
            <w:noWrap w:val="0"/>
            <w:vAlign w:val="center"/>
          </w:tcPr>
          <w:p w14:paraId="573BE4A6">
            <w:pPr>
              <w:jc w:val="center"/>
            </w:pPr>
            <w:r>
              <w:rPr>
                <w:rFonts w:hint="eastAsia"/>
              </w:rPr>
              <w:t>1000L</w:t>
            </w:r>
          </w:p>
        </w:tc>
        <w:tc>
          <w:tcPr>
            <w:tcW w:w="734" w:type="dxa"/>
            <w:noWrap w:val="0"/>
            <w:vAlign w:val="center"/>
          </w:tcPr>
          <w:p w14:paraId="3CC17D12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7F786E3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62933EF6">
            <w:pPr>
              <w:jc w:val="center"/>
            </w:pPr>
            <w:r>
              <w:rPr>
                <w:rFonts w:hint="eastAsia"/>
              </w:rPr>
              <w:t>含搅拌机、计量泵</w:t>
            </w:r>
          </w:p>
        </w:tc>
        <w:tc>
          <w:tcPr>
            <w:tcW w:w="734" w:type="dxa"/>
            <w:noWrap w:val="0"/>
            <w:vAlign w:val="center"/>
          </w:tcPr>
          <w:p w14:paraId="56251B00">
            <w:pPr>
              <w:jc w:val="center"/>
            </w:pPr>
          </w:p>
        </w:tc>
      </w:tr>
      <w:tr w14:paraId="21B8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642D58DF">
            <w:pPr>
              <w:jc w:val="center"/>
            </w:pPr>
            <w:r>
              <w:rPr>
                <w:rFonts w:hint="eastAsia"/>
              </w:rPr>
              <w:t>PLC智能控制系统</w:t>
            </w:r>
          </w:p>
        </w:tc>
        <w:tc>
          <w:tcPr>
            <w:tcW w:w="1970" w:type="dxa"/>
            <w:noWrap w:val="0"/>
            <w:vAlign w:val="center"/>
          </w:tcPr>
          <w:p w14:paraId="4D647969">
            <w:pPr>
              <w:jc w:val="center"/>
            </w:pPr>
            <w:r>
              <w:t>800x400x1200</w:t>
            </w:r>
          </w:p>
        </w:tc>
        <w:tc>
          <w:tcPr>
            <w:tcW w:w="734" w:type="dxa"/>
            <w:noWrap w:val="0"/>
            <w:vAlign w:val="center"/>
          </w:tcPr>
          <w:p w14:paraId="64F58EBC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610A3C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78037347">
            <w:pPr>
              <w:jc w:val="center"/>
            </w:pPr>
            <w:r>
              <w:rPr>
                <w:rFonts w:hint="eastAsia"/>
              </w:rPr>
              <w:t>PLC可编程控制器，手机远程控制</w:t>
            </w:r>
          </w:p>
        </w:tc>
        <w:tc>
          <w:tcPr>
            <w:tcW w:w="734" w:type="dxa"/>
            <w:noWrap w:val="0"/>
            <w:vAlign w:val="center"/>
          </w:tcPr>
          <w:p w14:paraId="44A741BB">
            <w:pPr>
              <w:jc w:val="center"/>
            </w:pPr>
          </w:p>
        </w:tc>
      </w:tr>
      <w:tr w14:paraId="6F0F6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51" w:type="dxa"/>
            <w:noWrap w:val="0"/>
            <w:vAlign w:val="center"/>
          </w:tcPr>
          <w:p w14:paraId="535DA5CA">
            <w:pPr>
              <w:jc w:val="center"/>
            </w:pPr>
            <w:r>
              <w:rPr>
                <w:rFonts w:hint="eastAsia"/>
              </w:rPr>
              <w:t>除味系统</w:t>
            </w:r>
          </w:p>
        </w:tc>
        <w:tc>
          <w:tcPr>
            <w:tcW w:w="1970" w:type="dxa"/>
            <w:noWrap w:val="0"/>
            <w:vAlign w:val="center"/>
          </w:tcPr>
          <w:p w14:paraId="49B34A7E">
            <w:pPr>
              <w:jc w:val="center"/>
            </w:pPr>
            <w:r>
              <w:rPr>
                <w:rFonts w:hint="eastAsia"/>
              </w:rPr>
              <w:t>1000㎡/h</w:t>
            </w:r>
          </w:p>
        </w:tc>
        <w:tc>
          <w:tcPr>
            <w:tcW w:w="734" w:type="dxa"/>
            <w:noWrap w:val="0"/>
            <w:vAlign w:val="center"/>
          </w:tcPr>
          <w:p w14:paraId="480CE7D5">
            <w:pPr>
              <w:jc w:val="center"/>
            </w:pPr>
            <w: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0F9B9AA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6BEFFACC">
            <w:pPr>
              <w:jc w:val="center"/>
            </w:pPr>
            <w:r>
              <w:rPr>
                <w:rFonts w:hint="eastAsia"/>
                <w:lang w:val="en-US" w:eastAsia="zh-CN"/>
              </w:rPr>
              <w:t>离子</w:t>
            </w:r>
            <w:r>
              <w:rPr>
                <w:rFonts w:hint="eastAsia"/>
              </w:rPr>
              <w:t>除臭+活性炭吸附</w:t>
            </w:r>
          </w:p>
        </w:tc>
        <w:tc>
          <w:tcPr>
            <w:tcW w:w="734" w:type="dxa"/>
            <w:noWrap w:val="0"/>
            <w:vAlign w:val="center"/>
          </w:tcPr>
          <w:p w14:paraId="24CCB653">
            <w:pPr>
              <w:jc w:val="center"/>
            </w:pPr>
          </w:p>
        </w:tc>
      </w:tr>
      <w:tr w14:paraId="3EAF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79617EE9">
            <w:pPr>
              <w:jc w:val="center"/>
            </w:pPr>
            <w:r>
              <w:rPr>
                <w:rFonts w:hint="eastAsia"/>
              </w:rPr>
              <w:t>排泥泵</w:t>
            </w:r>
          </w:p>
        </w:tc>
        <w:tc>
          <w:tcPr>
            <w:tcW w:w="1970" w:type="dxa"/>
            <w:noWrap w:val="0"/>
            <w:vAlign w:val="center"/>
          </w:tcPr>
          <w:p w14:paraId="68B1F954">
            <w:pPr>
              <w:jc w:val="center"/>
            </w:pPr>
            <w:r>
              <w:rPr>
                <w:rFonts w:hint="eastAsia"/>
              </w:rPr>
              <w:t>10-10-0.75kw</w:t>
            </w:r>
          </w:p>
        </w:tc>
        <w:tc>
          <w:tcPr>
            <w:tcW w:w="734" w:type="dxa"/>
            <w:noWrap w:val="0"/>
            <w:vAlign w:val="center"/>
          </w:tcPr>
          <w:p w14:paraId="6DB9F2DF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734" w:type="dxa"/>
            <w:noWrap w:val="0"/>
            <w:vAlign w:val="center"/>
          </w:tcPr>
          <w:p w14:paraId="24C41207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</w:t>
            </w:r>
          </w:p>
        </w:tc>
        <w:tc>
          <w:tcPr>
            <w:tcW w:w="3487" w:type="dxa"/>
            <w:noWrap w:val="0"/>
            <w:vAlign w:val="center"/>
          </w:tcPr>
          <w:p w14:paraId="683ED54F">
            <w:pPr>
              <w:jc w:val="center"/>
            </w:pPr>
            <w:r>
              <w:rPr>
                <w:rFonts w:hint="eastAsia"/>
              </w:rPr>
              <w:t>50WQ10-10-0.75kw</w:t>
            </w:r>
          </w:p>
        </w:tc>
        <w:tc>
          <w:tcPr>
            <w:tcW w:w="734" w:type="dxa"/>
            <w:noWrap w:val="0"/>
            <w:vAlign w:val="center"/>
          </w:tcPr>
          <w:p w14:paraId="6D6B0708">
            <w:pPr>
              <w:jc w:val="center"/>
            </w:pPr>
          </w:p>
        </w:tc>
      </w:tr>
      <w:tr w14:paraId="2F25D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611EA3E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消化液回流泵</w:t>
            </w:r>
          </w:p>
        </w:tc>
        <w:tc>
          <w:tcPr>
            <w:tcW w:w="1970" w:type="dxa"/>
            <w:noWrap w:val="0"/>
            <w:vAlign w:val="center"/>
          </w:tcPr>
          <w:p w14:paraId="5992AFA8">
            <w:pPr>
              <w:jc w:val="center"/>
            </w:pPr>
            <w:r>
              <w:rPr>
                <w:rFonts w:hint="eastAsia"/>
              </w:rPr>
              <w:t>20-18-2.2kw</w:t>
            </w:r>
          </w:p>
        </w:tc>
        <w:tc>
          <w:tcPr>
            <w:tcW w:w="734" w:type="dxa"/>
            <w:noWrap w:val="0"/>
            <w:vAlign w:val="center"/>
          </w:tcPr>
          <w:p w14:paraId="1F4B041E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734" w:type="dxa"/>
            <w:noWrap w:val="0"/>
            <w:vAlign w:val="center"/>
          </w:tcPr>
          <w:p w14:paraId="0A1FF478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</w:t>
            </w:r>
          </w:p>
        </w:tc>
        <w:tc>
          <w:tcPr>
            <w:tcW w:w="3487" w:type="dxa"/>
            <w:noWrap w:val="0"/>
            <w:vAlign w:val="center"/>
          </w:tcPr>
          <w:p w14:paraId="48E08F3F">
            <w:pPr>
              <w:jc w:val="center"/>
            </w:pPr>
            <w:r>
              <w:rPr>
                <w:rFonts w:hint="eastAsia"/>
              </w:rPr>
              <w:t xml:space="preserve">63WQ20-18-2.2kw  </w:t>
            </w:r>
          </w:p>
        </w:tc>
        <w:tc>
          <w:tcPr>
            <w:tcW w:w="734" w:type="dxa"/>
            <w:noWrap w:val="0"/>
            <w:vAlign w:val="center"/>
          </w:tcPr>
          <w:p w14:paraId="05A8864E">
            <w:pPr>
              <w:jc w:val="center"/>
            </w:pPr>
          </w:p>
        </w:tc>
      </w:tr>
      <w:tr w14:paraId="5279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51" w:type="dxa"/>
            <w:noWrap w:val="0"/>
            <w:vAlign w:val="center"/>
          </w:tcPr>
          <w:p w14:paraId="1C45762E">
            <w:pPr>
              <w:jc w:val="center"/>
            </w:pPr>
            <w:r>
              <w:rPr>
                <w:rFonts w:hint="eastAsia"/>
              </w:rPr>
              <w:t>潜水搅拌器</w:t>
            </w:r>
          </w:p>
        </w:tc>
        <w:tc>
          <w:tcPr>
            <w:tcW w:w="1970" w:type="dxa"/>
            <w:noWrap w:val="0"/>
            <w:vAlign w:val="center"/>
          </w:tcPr>
          <w:p w14:paraId="7B7FC807">
            <w:pPr>
              <w:jc w:val="center"/>
            </w:pPr>
            <w:r>
              <w:rPr>
                <w:rFonts w:hint="eastAsia"/>
              </w:rPr>
              <w:t>740</w:t>
            </w:r>
          </w:p>
        </w:tc>
        <w:tc>
          <w:tcPr>
            <w:tcW w:w="734" w:type="dxa"/>
            <w:noWrap w:val="0"/>
            <w:vAlign w:val="center"/>
          </w:tcPr>
          <w:p w14:paraId="24E2A5AF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734" w:type="dxa"/>
            <w:noWrap w:val="0"/>
            <w:vAlign w:val="center"/>
          </w:tcPr>
          <w:p w14:paraId="7C38993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87" w:type="dxa"/>
            <w:noWrap w:val="0"/>
            <w:vAlign w:val="center"/>
          </w:tcPr>
          <w:p w14:paraId="12538E32">
            <w:pPr>
              <w:jc w:val="center"/>
            </w:pPr>
            <w:r>
              <w:rPr>
                <w:rFonts w:hint="eastAsia"/>
              </w:rPr>
              <w:t>QJB1.5/6-260/3</w:t>
            </w:r>
          </w:p>
        </w:tc>
        <w:tc>
          <w:tcPr>
            <w:tcW w:w="734" w:type="dxa"/>
            <w:noWrap w:val="0"/>
            <w:vAlign w:val="center"/>
          </w:tcPr>
          <w:p w14:paraId="36E45B75">
            <w:pPr>
              <w:jc w:val="center"/>
            </w:pPr>
          </w:p>
        </w:tc>
      </w:tr>
      <w:tr w14:paraId="756D8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0A7C99DA">
            <w:pPr>
              <w:jc w:val="center"/>
            </w:pPr>
            <w:r>
              <w:rPr>
                <w:rFonts w:hint="eastAsia"/>
              </w:rPr>
              <w:t>弹性填料</w:t>
            </w:r>
          </w:p>
        </w:tc>
        <w:tc>
          <w:tcPr>
            <w:tcW w:w="1970" w:type="dxa"/>
            <w:noWrap w:val="0"/>
            <w:vAlign w:val="center"/>
          </w:tcPr>
          <w:p w14:paraId="1C934407">
            <w:pPr>
              <w:jc w:val="center"/>
            </w:pPr>
            <w:r>
              <w:t>190m³</w:t>
            </w:r>
          </w:p>
        </w:tc>
        <w:tc>
          <w:tcPr>
            <w:tcW w:w="734" w:type="dxa"/>
            <w:noWrap w:val="0"/>
            <w:vAlign w:val="center"/>
          </w:tcPr>
          <w:p w14:paraId="3FFDCF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</w:t>
            </w:r>
          </w:p>
        </w:tc>
        <w:tc>
          <w:tcPr>
            <w:tcW w:w="734" w:type="dxa"/>
            <w:noWrap w:val="0"/>
            <w:vAlign w:val="center"/>
          </w:tcPr>
          <w:p w14:paraId="5E31E70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738DBDFF">
            <w:pPr>
              <w:jc w:val="center"/>
            </w:pPr>
            <w:r>
              <w:t>L=2500,</w:t>
            </w:r>
            <w:r>
              <w:rPr>
                <w:rFonts w:hint="eastAsia" w:ascii="MS Mincho" w:hAnsi="MS Mincho" w:eastAsia="MS Mincho" w:cs="MS Mincho"/>
              </w:rPr>
              <w:t>∅</w:t>
            </w:r>
            <w:r>
              <w:t>150</w:t>
            </w:r>
          </w:p>
        </w:tc>
        <w:tc>
          <w:tcPr>
            <w:tcW w:w="734" w:type="dxa"/>
            <w:noWrap w:val="0"/>
            <w:vAlign w:val="center"/>
          </w:tcPr>
          <w:p w14:paraId="4E9C2E03">
            <w:pPr>
              <w:jc w:val="center"/>
            </w:pPr>
          </w:p>
        </w:tc>
      </w:tr>
      <w:tr w14:paraId="5E16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51" w:type="dxa"/>
            <w:noWrap w:val="0"/>
            <w:vAlign w:val="center"/>
          </w:tcPr>
          <w:p w14:paraId="15476FD8">
            <w:pPr>
              <w:jc w:val="center"/>
            </w:pPr>
            <w:r>
              <w:rPr>
                <w:rFonts w:hint="eastAsia"/>
              </w:rPr>
              <w:t xml:space="preserve">管子 </w:t>
            </w:r>
          </w:p>
        </w:tc>
        <w:tc>
          <w:tcPr>
            <w:tcW w:w="1970" w:type="dxa"/>
            <w:noWrap w:val="0"/>
            <w:vAlign w:val="center"/>
          </w:tcPr>
          <w:p w14:paraId="4D07753C">
            <w:pPr>
              <w:jc w:val="center"/>
            </w:pPr>
            <w:r>
              <w:rPr>
                <w:rFonts w:hint="eastAsia"/>
              </w:rPr>
              <w:t>DN80</w:t>
            </w:r>
          </w:p>
        </w:tc>
        <w:tc>
          <w:tcPr>
            <w:tcW w:w="734" w:type="dxa"/>
            <w:noWrap w:val="0"/>
            <w:vAlign w:val="center"/>
          </w:tcPr>
          <w:p w14:paraId="202B8C2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</w:t>
            </w:r>
          </w:p>
        </w:tc>
        <w:tc>
          <w:tcPr>
            <w:tcW w:w="734" w:type="dxa"/>
            <w:noWrap w:val="0"/>
            <w:vAlign w:val="center"/>
          </w:tcPr>
          <w:p w14:paraId="43F0FB6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56008C23">
            <w:pPr>
              <w:jc w:val="center"/>
            </w:pPr>
            <w:r>
              <w:rPr>
                <w:rFonts w:hint="eastAsia"/>
              </w:rPr>
              <w:t xml:space="preserve">PE </w:t>
            </w:r>
          </w:p>
        </w:tc>
        <w:tc>
          <w:tcPr>
            <w:tcW w:w="734" w:type="dxa"/>
            <w:noWrap w:val="0"/>
            <w:vAlign w:val="center"/>
          </w:tcPr>
          <w:p w14:paraId="159AFB91">
            <w:pPr>
              <w:jc w:val="center"/>
            </w:pPr>
          </w:p>
        </w:tc>
      </w:tr>
      <w:tr w14:paraId="61CB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51" w:type="dxa"/>
            <w:noWrap w:val="0"/>
            <w:vAlign w:val="center"/>
          </w:tcPr>
          <w:p w14:paraId="28C5F8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电线</w:t>
            </w:r>
          </w:p>
        </w:tc>
        <w:tc>
          <w:tcPr>
            <w:tcW w:w="1970" w:type="dxa"/>
            <w:noWrap w:val="0"/>
            <w:vAlign w:val="center"/>
          </w:tcPr>
          <w:p w14:paraId="096970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众邦</w:t>
            </w:r>
          </w:p>
        </w:tc>
        <w:tc>
          <w:tcPr>
            <w:tcW w:w="734" w:type="dxa"/>
            <w:noWrap w:val="0"/>
            <w:vAlign w:val="center"/>
          </w:tcPr>
          <w:p w14:paraId="12CCB4F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</w:t>
            </w:r>
          </w:p>
        </w:tc>
        <w:tc>
          <w:tcPr>
            <w:tcW w:w="734" w:type="dxa"/>
            <w:noWrap w:val="0"/>
            <w:vAlign w:val="center"/>
          </w:tcPr>
          <w:p w14:paraId="68817C2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5AC3ECBE">
            <w:pPr>
              <w:jc w:val="center"/>
            </w:pPr>
            <w:r>
              <w:rPr>
                <w:rFonts w:hint="eastAsia"/>
              </w:rPr>
              <w:t>2.5平方，1.5平方</w:t>
            </w:r>
          </w:p>
        </w:tc>
        <w:tc>
          <w:tcPr>
            <w:tcW w:w="734" w:type="dxa"/>
            <w:noWrap w:val="0"/>
            <w:vAlign w:val="center"/>
          </w:tcPr>
          <w:p w14:paraId="01948DAE">
            <w:pPr>
              <w:jc w:val="center"/>
            </w:pPr>
          </w:p>
        </w:tc>
      </w:tr>
      <w:tr w14:paraId="6266F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51" w:type="dxa"/>
            <w:noWrap w:val="0"/>
            <w:vAlign w:val="center"/>
          </w:tcPr>
          <w:p w14:paraId="637255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电磁流量计</w:t>
            </w:r>
          </w:p>
        </w:tc>
        <w:tc>
          <w:tcPr>
            <w:tcW w:w="1970" w:type="dxa"/>
            <w:noWrap w:val="0"/>
            <w:vAlign w:val="center"/>
          </w:tcPr>
          <w:p w14:paraId="25B8D2E4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734" w:type="dxa"/>
            <w:noWrap w:val="0"/>
            <w:vAlign w:val="center"/>
          </w:tcPr>
          <w:p w14:paraId="38B5DB47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734" w:type="dxa"/>
            <w:noWrap w:val="0"/>
            <w:vAlign w:val="center"/>
          </w:tcPr>
          <w:p w14:paraId="027D800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87" w:type="dxa"/>
            <w:noWrap w:val="0"/>
            <w:vAlign w:val="center"/>
          </w:tcPr>
          <w:p w14:paraId="49809991">
            <w:pPr>
              <w:jc w:val="center"/>
            </w:pPr>
            <w:r>
              <w:rPr>
                <w:rFonts w:hint="eastAsia"/>
              </w:rPr>
              <w:t>DN65</w:t>
            </w:r>
          </w:p>
        </w:tc>
        <w:tc>
          <w:tcPr>
            <w:tcW w:w="734" w:type="dxa"/>
            <w:noWrap w:val="0"/>
            <w:vAlign w:val="center"/>
          </w:tcPr>
          <w:p w14:paraId="19BCAFA0">
            <w:pPr>
              <w:jc w:val="center"/>
            </w:pPr>
          </w:p>
        </w:tc>
      </w:tr>
    </w:tbl>
    <w:p w14:paraId="4FA5ED19">
      <w:pPr>
        <w:spacing w:line="5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794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AC9BCF1-9350-4D31-8B51-6F409A299E6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6EEF47B-2ACA-44BB-BF73-A0CF42AD4C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5142CD7-5532-463C-A136-2EB11D0CE00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3878D7A-FAD0-48DE-B6AA-3687ECDBC982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G Omeg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  <w:embedRegular r:id="rId5" w:fontKey="{3D9494E0-7460-41C3-86EF-08FA4F29488A}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宋体|.坸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6" w:fontKey="{F0797AD4-4175-4C43-8006-DDA9061D4D72}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魏碑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7" w:fontKey="{2DAFE88B-9907-4592-A5B8-BE999F8C721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8" w:fontKey="{18182FB7-32BF-422E-9C1B-E6B4CB251C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77917172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0515C460">
            <w:pPr>
              <w:pStyle w:val="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2F1B3D17">
            <w:pPr>
              <w:pStyle w:val="23"/>
            </w:pPr>
          </w:p>
        </w:sdtContent>
      </w:sdt>
    </w:sdtContent>
  </w:sdt>
  <w:p w14:paraId="43036742"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044FF">
    <w:pPr>
      <w:pStyle w:val="24"/>
      <w:rPr>
        <w:rFonts w:ascii="方正魏碑_GBK" w:eastAsia="方正魏碑_GBK"/>
        <w:sz w:val="21"/>
        <w:szCs w:val="21"/>
      </w:rPr>
    </w:pPr>
    <w:r>
      <w:rPr>
        <w:rFonts w:hint="eastAsia" w:ascii="方正魏碑_GBK" w:hAnsi="宋体" w:eastAsia="方正魏碑_GBK" w:cs="宋体"/>
        <w:sz w:val="21"/>
        <w:szCs w:val="21"/>
      </w:rPr>
      <w:t>甘肃正立建设投资（集团）有限公司招标方案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2D1"/>
    <w:rsid w:val="000404C8"/>
    <w:rsid w:val="000476CD"/>
    <w:rsid w:val="00060EBF"/>
    <w:rsid w:val="00065FA0"/>
    <w:rsid w:val="00072A12"/>
    <w:rsid w:val="000904D4"/>
    <w:rsid w:val="000968A0"/>
    <w:rsid w:val="000A12F1"/>
    <w:rsid w:val="000A6542"/>
    <w:rsid w:val="000A737C"/>
    <w:rsid w:val="000C0C7D"/>
    <w:rsid w:val="00104167"/>
    <w:rsid w:val="00106F29"/>
    <w:rsid w:val="0010746A"/>
    <w:rsid w:val="001076A7"/>
    <w:rsid w:val="00114C2B"/>
    <w:rsid w:val="001202F7"/>
    <w:rsid w:val="00121A1A"/>
    <w:rsid w:val="00123D43"/>
    <w:rsid w:val="00136D1E"/>
    <w:rsid w:val="001443E1"/>
    <w:rsid w:val="00165FE6"/>
    <w:rsid w:val="0017304C"/>
    <w:rsid w:val="001B3D9F"/>
    <w:rsid w:val="001B6634"/>
    <w:rsid w:val="001D01E0"/>
    <w:rsid w:val="001E7298"/>
    <w:rsid w:val="00203934"/>
    <w:rsid w:val="00203B27"/>
    <w:rsid w:val="002102A3"/>
    <w:rsid w:val="00211757"/>
    <w:rsid w:val="00212279"/>
    <w:rsid w:val="00215B9D"/>
    <w:rsid w:val="00223536"/>
    <w:rsid w:val="002261CE"/>
    <w:rsid w:val="0022745D"/>
    <w:rsid w:val="00233FE5"/>
    <w:rsid w:val="00240BE4"/>
    <w:rsid w:val="002438B4"/>
    <w:rsid w:val="002549CA"/>
    <w:rsid w:val="00266E72"/>
    <w:rsid w:val="002751DF"/>
    <w:rsid w:val="002837DF"/>
    <w:rsid w:val="00293CB5"/>
    <w:rsid w:val="00295E47"/>
    <w:rsid w:val="002A4462"/>
    <w:rsid w:val="002A7A6E"/>
    <w:rsid w:val="002B0336"/>
    <w:rsid w:val="00303F79"/>
    <w:rsid w:val="003156CF"/>
    <w:rsid w:val="00322B59"/>
    <w:rsid w:val="0032627E"/>
    <w:rsid w:val="00355AEB"/>
    <w:rsid w:val="00361175"/>
    <w:rsid w:val="003628A9"/>
    <w:rsid w:val="00365B68"/>
    <w:rsid w:val="00384666"/>
    <w:rsid w:val="00386BBE"/>
    <w:rsid w:val="00387503"/>
    <w:rsid w:val="003B7001"/>
    <w:rsid w:val="003D0449"/>
    <w:rsid w:val="003D5C25"/>
    <w:rsid w:val="003D5C43"/>
    <w:rsid w:val="003E51B5"/>
    <w:rsid w:val="00404D33"/>
    <w:rsid w:val="00406DC7"/>
    <w:rsid w:val="00417233"/>
    <w:rsid w:val="0042141B"/>
    <w:rsid w:val="00424278"/>
    <w:rsid w:val="00430DA1"/>
    <w:rsid w:val="00442ED8"/>
    <w:rsid w:val="00444EA2"/>
    <w:rsid w:val="00462349"/>
    <w:rsid w:val="00476A0D"/>
    <w:rsid w:val="0048353D"/>
    <w:rsid w:val="00487395"/>
    <w:rsid w:val="00495D0C"/>
    <w:rsid w:val="004B3F65"/>
    <w:rsid w:val="004C2BB7"/>
    <w:rsid w:val="004E7E78"/>
    <w:rsid w:val="004F2AE7"/>
    <w:rsid w:val="004F2D83"/>
    <w:rsid w:val="004F4A89"/>
    <w:rsid w:val="004F4CC3"/>
    <w:rsid w:val="00500037"/>
    <w:rsid w:val="00521EB8"/>
    <w:rsid w:val="00522B74"/>
    <w:rsid w:val="0052632B"/>
    <w:rsid w:val="00530436"/>
    <w:rsid w:val="00551639"/>
    <w:rsid w:val="00551F9E"/>
    <w:rsid w:val="0057082F"/>
    <w:rsid w:val="005728B9"/>
    <w:rsid w:val="00573037"/>
    <w:rsid w:val="005A6D3F"/>
    <w:rsid w:val="005B12C4"/>
    <w:rsid w:val="005B4411"/>
    <w:rsid w:val="005D15E6"/>
    <w:rsid w:val="005D4752"/>
    <w:rsid w:val="005E00B1"/>
    <w:rsid w:val="005F466D"/>
    <w:rsid w:val="005F470B"/>
    <w:rsid w:val="0061308F"/>
    <w:rsid w:val="006220EB"/>
    <w:rsid w:val="00626247"/>
    <w:rsid w:val="00633D0A"/>
    <w:rsid w:val="00692B81"/>
    <w:rsid w:val="006A6E30"/>
    <w:rsid w:val="006F2B0D"/>
    <w:rsid w:val="00707257"/>
    <w:rsid w:val="00714155"/>
    <w:rsid w:val="0071674C"/>
    <w:rsid w:val="007221B6"/>
    <w:rsid w:val="00722F88"/>
    <w:rsid w:val="00723E10"/>
    <w:rsid w:val="0072479E"/>
    <w:rsid w:val="00761199"/>
    <w:rsid w:val="00770232"/>
    <w:rsid w:val="00773D30"/>
    <w:rsid w:val="00776771"/>
    <w:rsid w:val="007822C5"/>
    <w:rsid w:val="007A5F14"/>
    <w:rsid w:val="007B52DC"/>
    <w:rsid w:val="007D5146"/>
    <w:rsid w:val="007F5C53"/>
    <w:rsid w:val="008120EE"/>
    <w:rsid w:val="0082146B"/>
    <w:rsid w:val="008221E4"/>
    <w:rsid w:val="00834563"/>
    <w:rsid w:val="00864627"/>
    <w:rsid w:val="008806F6"/>
    <w:rsid w:val="008A55A0"/>
    <w:rsid w:val="008B38D5"/>
    <w:rsid w:val="008B76DE"/>
    <w:rsid w:val="008C1DD2"/>
    <w:rsid w:val="008C4ABE"/>
    <w:rsid w:val="008F3A0E"/>
    <w:rsid w:val="008F760C"/>
    <w:rsid w:val="00924AD3"/>
    <w:rsid w:val="00940C2A"/>
    <w:rsid w:val="009561C5"/>
    <w:rsid w:val="009677EA"/>
    <w:rsid w:val="00980BDE"/>
    <w:rsid w:val="009B002A"/>
    <w:rsid w:val="009B2315"/>
    <w:rsid w:val="009B25F9"/>
    <w:rsid w:val="009D2A3E"/>
    <w:rsid w:val="009E4C2D"/>
    <w:rsid w:val="00A121C6"/>
    <w:rsid w:val="00A40818"/>
    <w:rsid w:val="00A42965"/>
    <w:rsid w:val="00A45311"/>
    <w:rsid w:val="00A53F64"/>
    <w:rsid w:val="00A562D1"/>
    <w:rsid w:val="00A671AA"/>
    <w:rsid w:val="00A87E96"/>
    <w:rsid w:val="00A924F5"/>
    <w:rsid w:val="00AA2F66"/>
    <w:rsid w:val="00AB0C06"/>
    <w:rsid w:val="00AB23D4"/>
    <w:rsid w:val="00AB49BB"/>
    <w:rsid w:val="00B102E0"/>
    <w:rsid w:val="00B11ADF"/>
    <w:rsid w:val="00B126F3"/>
    <w:rsid w:val="00B13AA0"/>
    <w:rsid w:val="00B3078A"/>
    <w:rsid w:val="00B35C84"/>
    <w:rsid w:val="00B532FA"/>
    <w:rsid w:val="00B64AF7"/>
    <w:rsid w:val="00B655AD"/>
    <w:rsid w:val="00B75604"/>
    <w:rsid w:val="00B75D53"/>
    <w:rsid w:val="00B807E2"/>
    <w:rsid w:val="00B8398C"/>
    <w:rsid w:val="00BA19D9"/>
    <w:rsid w:val="00BB19DC"/>
    <w:rsid w:val="00BC5E97"/>
    <w:rsid w:val="00BD0563"/>
    <w:rsid w:val="00BF0BCA"/>
    <w:rsid w:val="00C53C8E"/>
    <w:rsid w:val="00C72C12"/>
    <w:rsid w:val="00C77F07"/>
    <w:rsid w:val="00CB7029"/>
    <w:rsid w:val="00CD13CF"/>
    <w:rsid w:val="00D04363"/>
    <w:rsid w:val="00D112F7"/>
    <w:rsid w:val="00D273B1"/>
    <w:rsid w:val="00D32BE7"/>
    <w:rsid w:val="00D75F7C"/>
    <w:rsid w:val="00D84106"/>
    <w:rsid w:val="00D91D40"/>
    <w:rsid w:val="00D95E3E"/>
    <w:rsid w:val="00DA6C05"/>
    <w:rsid w:val="00DC4BBE"/>
    <w:rsid w:val="00DE4253"/>
    <w:rsid w:val="00DF043C"/>
    <w:rsid w:val="00E02BBF"/>
    <w:rsid w:val="00E03E29"/>
    <w:rsid w:val="00E2348B"/>
    <w:rsid w:val="00E260D1"/>
    <w:rsid w:val="00E43779"/>
    <w:rsid w:val="00E557D9"/>
    <w:rsid w:val="00E55B6E"/>
    <w:rsid w:val="00E63951"/>
    <w:rsid w:val="00E668CA"/>
    <w:rsid w:val="00E7737D"/>
    <w:rsid w:val="00E87A2A"/>
    <w:rsid w:val="00E922FF"/>
    <w:rsid w:val="00E93FE2"/>
    <w:rsid w:val="00EA2ABE"/>
    <w:rsid w:val="00EA6907"/>
    <w:rsid w:val="00EC08F3"/>
    <w:rsid w:val="00EC18EC"/>
    <w:rsid w:val="00EC42C0"/>
    <w:rsid w:val="00ED2808"/>
    <w:rsid w:val="00F11918"/>
    <w:rsid w:val="00F4509C"/>
    <w:rsid w:val="00F50C94"/>
    <w:rsid w:val="00F66CE8"/>
    <w:rsid w:val="00F67395"/>
    <w:rsid w:val="00F70705"/>
    <w:rsid w:val="00FA159C"/>
    <w:rsid w:val="00FA7057"/>
    <w:rsid w:val="00FC1C54"/>
    <w:rsid w:val="00FE0F39"/>
    <w:rsid w:val="00FE1163"/>
    <w:rsid w:val="00FE5F92"/>
    <w:rsid w:val="00FF5671"/>
    <w:rsid w:val="037D1E1B"/>
    <w:rsid w:val="081C2A12"/>
    <w:rsid w:val="09687F6E"/>
    <w:rsid w:val="15127621"/>
    <w:rsid w:val="1C7A6B15"/>
    <w:rsid w:val="1FE174FC"/>
    <w:rsid w:val="223E0AAA"/>
    <w:rsid w:val="28412574"/>
    <w:rsid w:val="299365F6"/>
    <w:rsid w:val="2FF87D20"/>
    <w:rsid w:val="37930474"/>
    <w:rsid w:val="38E555A6"/>
    <w:rsid w:val="3E724A10"/>
    <w:rsid w:val="3EAC34D0"/>
    <w:rsid w:val="4C416153"/>
    <w:rsid w:val="4CC34DBA"/>
    <w:rsid w:val="4F8451F6"/>
    <w:rsid w:val="540F4F15"/>
    <w:rsid w:val="58753AAD"/>
    <w:rsid w:val="58A258EB"/>
    <w:rsid w:val="5A7807AB"/>
    <w:rsid w:val="5A8E494C"/>
    <w:rsid w:val="61F21F72"/>
    <w:rsid w:val="662F6224"/>
    <w:rsid w:val="6E580E15"/>
    <w:rsid w:val="76DF5E66"/>
    <w:rsid w:val="7A0639AF"/>
    <w:rsid w:val="7B6E2F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99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qFormat="1" w:uiPriority="99" w:semiHidden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widowControl/>
      <w:spacing w:before="340" w:after="330" w:line="578" w:lineRule="auto"/>
      <w:jc w:val="left"/>
      <w:outlineLvl w:val="0"/>
    </w:pPr>
    <w:rPr>
      <w:rFonts w:ascii="宋体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7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1"/>
    </w:pPr>
    <w:rPr>
      <w:rFonts w:ascii="Arial" w:hAnsi="Arial" w:eastAsia="黑体" w:cs="Times New Roman"/>
      <w:b/>
      <w:kern w:val="0"/>
      <w:sz w:val="32"/>
      <w:szCs w:val="20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2"/>
    </w:pPr>
    <w:rPr>
      <w:rFonts w:ascii="宋体" w:hAnsi="Calibri" w:eastAsia="宋体" w:cs="Times New Roman"/>
      <w:b/>
      <w:kern w:val="0"/>
      <w:sz w:val="32"/>
      <w:szCs w:val="20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3"/>
    </w:pPr>
    <w:rPr>
      <w:rFonts w:ascii="Arial" w:hAnsi="Arial" w:eastAsia="黑体" w:cs="Times New Roman"/>
      <w:b/>
      <w:kern w:val="0"/>
      <w:sz w:val="28"/>
      <w:szCs w:val="20"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4"/>
    </w:pPr>
    <w:rPr>
      <w:rFonts w:ascii="宋体" w:hAnsi="Calibri" w:eastAsia="宋体" w:cs="Times New Roman"/>
      <w:b/>
      <w:kern w:val="0"/>
      <w:sz w:val="28"/>
      <w:szCs w:val="20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 w:cs="Times New Roman"/>
      <w:b/>
      <w:kern w:val="0"/>
      <w:sz w:val="24"/>
      <w:szCs w:val="20"/>
    </w:rPr>
  </w:style>
  <w:style w:type="paragraph" w:styleId="8">
    <w:name w:val="heading 7"/>
    <w:basedOn w:val="1"/>
    <w:next w:val="1"/>
    <w:link w:val="62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6"/>
    </w:pPr>
    <w:rPr>
      <w:rFonts w:ascii="宋体" w:hAnsi="Calibri" w:eastAsia="宋体" w:cs="Times New Roman"/>
      <w:b/>
      <w:kern w:val="0"/>
      <w:sz w:val="24"/>
      <w:szCs w:val="20"/>
    </w:rPr>
  </w:style>
  <w:style w:type="paragraph" w:styleId="9">
    <w:name w:val="heading 8"/>
    <w:basedOn w:val="1"/>
    <w:next w:val="1"/>
    <w:link w:val="63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 w:cs="Times New Roman"/>
      <w:kern w:val="0"/>
      <w:sz w:val="24"/>
      <w:szCs w:val="20"/>
    </w:rPr>
  </w:style>
  <w:style w:type="paragraph" w:styleId="10">
    <w:name w:val="heading 9"/>
    <w:basedOn w:val="1"/>
    <w:next w:val="1"/>
    <w:link w:val="64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 w:cs="Times New Roman"/>
      <w:kern w:val="0"/>
      <w:sz w:val="28"/>
      <w:szCs w:val="20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66"/>
    <w:qFormat/>
    <w:uiPriority w:val="0"/>
    <w:pPr>
      <w:widowControl/>
      <w:adjustRightInd w:val="0"/>
      <w:spacing w:line="360" w:lineRule="atLeast"/>
      <w:ind w:firstLine="420"/>
      <w:jc w:val="left"/>
      <w:textAlignment w:val="baseline"/>
    </w:pPr>
    <w:rPr>
      <w:rFonts w:ascii="Calibri" w:hAnsi="Calibri" w:eastAsia="宋体" w:cs="Times New Roman"/>
      <w:kern w:val="0"/>
      <w:sz w:val="18"/>
      <w:szCs w:val="20"/>
    </w:rPr>
  </w:style>
  <w:style w:type="paragraph" w:styleId="12">
    <w:name w:val="Document Map"/>
    <w:basedOn w:val="1"/>
    <w:link w:val="68"/>
    <w:qFormat/>
    <w:uiPriority w:val="0"/>
    <w:pPr>
      <w:widowControl/>
      <w:shd w:val="clear" w:color="auto" w:fill="000080"/>
      <w:jc w:val="left"/>
    </w:pPr>
    <w:rPr>
      <w:rFonts w:ascii="宋体" w:hAnsi="Calibri" w:eastAsia="宋体" w:cs="Times New Roman"/>
      <w:kern w:val="0"/>
      <w:sz w:val="18"/>
      <w:szCs w:val="18"/>
    </w:rPr>
  </w:style>
  <w:style w:type="paragraph" w:styleId="13">
    <w:name w:val="annotation text"/>
    <w:basedOn w:val="1"/>
    <w:link w:val="70"/>
    <w:unhideWhenUsed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styleId="14">
    <w:name w:val="Body Text 3"/>
    <w:basedOn w:val="1"/>
    <w:link w:val="72"/>
    <w:qFormat/>
    <w:uiPriority w:val="0"/>
    <w:pPr>
      <w:widowControl/>
      <w:autoSpaceDE w:val="0"/>
      <w:autoSpaceDN w:val="0"/>
      <w:adjustRightInd w:val="0"/>
      <w:spacing w:line="500" w:lineRule="exact"/>
      <w:ind w:right="6"/>
      <w:jc w:val="left"/>
    </w:pPr>
    <w:rPr>
      <w:rFonts w:ascii="Calibri" w:hAnsi="Calibri" w:eastAsia="宋体" w:cs="Times New Roman"/>
      <w:kern w:val="0"/>
      <w:sz w:val="24"/>
      <w:szCs w:val="20"/>
    </w:rPr>
  </w:style>
  <w:style w:type="paragraph" w:styleId="15">
    <w:name w:val="Closing"/>
    <w:basedOn w:val="1"/>
    <w:link w:val="74"/>
    <w:qFormat/>
    <w:uiPriority w:val="0"/>
    <w:pPr>
      <w:widowControl/>
      <w:ind w:left="4320"/>
      <w:jc w:val="left"/>
    </w:pPr>
    <w:rPr>
      <w:rFonts w:ascii="CG Omega" w:hAnsi="CG Omega" w:eastAsia="宋体" w:cs="CG Omega"/>
      <w:kern w:val="0"/>
      <w:sz w:val="22"/>
      <w:szCs w:val="22"/>
      <w:lang w:val="en-GB"/>
    </w:rPr>
  </w:style>
  <w:style w:type="paragraph" w:styleId="16">
    <w:name w:val="Body Text"/>
    <w:basedOn w:val="1"/>
    <w:link w:val="76"/>
    <w:unhideWhenUsed/>
    <w:qFormat/>
    <w:uiPriority w:val="0"/>
    <w:pPr>
      <w:widowControl/>
      <w:adjustRightInd w:val="0"/>
      <w:spacing w:line="360" w:lineRule="auto"/>
      <w:jc w:val="left"/>
      <w:outlineLvl w:val="0"/>
    </w:pPr>
    <w:rPr>
      <w:rFonts w:ascii="宋体" w:hAnsi="Arial" w:eastAsia="宋体" w:cs="宋体"/>
      <w:kern w:val="0"/>
      <w:sz w:val="24"/>
      <w:szCs w:val="20"/>
    </w:rPr>
  </w:style>
  <w:style w:type="paragraph" w:styleId="17">
    <w:name w:val="Body Text Indent"/>
    <w:basedOn w:val="1"/>
    <w:link w:val="78"/>
    <w:qFormat/>
    <w:uiPriority w:val="0"/>
    <w:pPr>
      <w:widowControl/>
      <w:spacing w:after="120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18">
    <w:name w:val="Block Text"/>
    <w:basedOn w:val="1"/>
    <w:qFormat/>
    <w:uiPriority w:val="0"/>
    <w:pPr>
      <w:widowControl/>
      <w:adjustRightInd w:val="0"/>
      <w:spacing w:line="360" w:lineRule="auto"/>
      <w:ind w:left="1080" w:right="940"/>
      <w:jc w:val="left"/>
      <w:textAlignment w:val="baseline"/>
    </w:pPr>
    <w:rPr>
      <w:rFonts w:ascii="宋体" w:hAnsi="Calibri" w:eastAsia="宋体" w:cs="Times New Roman"/>
      <w:kern w:val="0"/>
      <w:sz w:val="18"/>
      <w:szCs w:val="20"/>
    </w:rPr>
  </w:style>
  <w:style w:type="paragraph" w:styleId="19">
    <w:name w:val="Plain Text"/>
    <w:basedOn w:val="1"/>
    <w:link w:val="47"/>
    <w:qFormat/>
    <w:uiPriority w:val="0"/>
    <w:pPr>
      <w:widowControl/>
      <w:jc w:val="left"/>
    </w:pPr>
    <w:rPr>
      <w:rFonts w:ascii="宋体" w:hAnsi="Courier New" w:eastAsia="宋体" w:cs="Courier New"/>
      <w:kern w:val="0"/>
      <w:sz w:val="28"/>
      <w:szCs w:val="21"/>
    </w:rPr>
  </w:style>
  <w:style w:type="paragraph" w:styleId="20">
    <w:name w:val="Date"/>
    <w:basedOn w:val="1"/>
    <w:next w:val="1"/>
    <w:link w:val="45"/>
    <w:unhideWhenUsed/>
    <w:qFormat/>
    <w:uiPriority w:val="0"/>
    <w:pPr>
      <w:ind w:left="100" w:leftChars="2500"/>
    </w:pPr>
  </w:style>
  <w:style w:type="paragraph" w:styleId="21">
    <w:name w:val="Body Text Indent 2"/>
    <w:basedOn w:val="1"/>
    <w:link w:val="81"/>
    <w:unhideWhenUsed/>
    <w:qFormat/>
    <w:uiPriority w:val="99"/>
    <w:pPr>
      <w:widowControl/>
      <w:spacing w:after="120" w:line="480" w:lineRule="auto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22">
    <w:name w:val="Balloon Text"/>
    <w:basedOn w:val="1"/>
    <w:link w:val="83"/>
    <w:qFormat/>
    <w:uiPriority w:val="0"/>
    <w:pPr>
      <w:widowControl/>
      <w:jc w:val="left"/>
    </w:pPr>
    <w:rPr>
      <w:rFonts w:ascii="宋体" w:hAnsi="Calibri" w:eastAsia="宋体" w:cs="Arial"/>
      <w:kern w:val="0"/>
      <w:sz w:val="18"/>
      <w:szCs w:val="18"/>
      <w:lang w:eastAsia="en-US"/>
    </w:rPr>
  </w:style>
  <w:style w:type="paragraph" w:styleId="23">
    <w:name w:val="footer"/>
    <w:basedOn w:val="1"/>
    <w:link w:val="4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4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Body Text Indent 3"/>
    <w:basedOn w:val="1"/>
    <w:link w:val="87"/>
    <w:qFormat/>
    <w:uiPriority w:val="0"/>
    <w:pPr>
      <w:widowControl/>
      <w:spacing w:line="480" w:lineRule="auto"/>
      <w:ind w:left="420"/>
      <w:jc w:val="left"/>
      <w:outlineLvl w:val="0"/>
    </w:pPr>
    <w:rPr>
      <w:rFonts w:ascii="宋体" w:hAnsi="Calibri" w:eastAsia="宋体" w:cs="Times New Roman"/>
      <w:kern w:val="0"/>
      <w:sz w:val="24"/>
      <w:szCs w:val="20"/>
    </w:rPr>
  </w:style>
  <w:style w:type="paragraph" w:styleId="26">
    <w:name w:val="Body Text 2"/>
    <w:basedOn w:val="1"/>
    <w:link w:val="89"/>
    <w:qFormat/>
    <w:uiPriority w:val="0"/>
    <w:pPr>
      <w:widowControl/>
      <w:tabs>
        <w:tab w:val="left" w:pos="8280"/>
      </w:tabs>
      <w:spacing w:line="300" w:lineRule="auto"/>
      <w:ind w:right="26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27">
    <w:name w:val="Normal (Web)"/>
    <w:basedOn w:val="1"/>
    <w:qFormat/>
    <w:uiPriority w:val="99"/>
    <w:pPr>
      <w:widowControl/>
      <w:jc w:val="left"/>
    </w:pPr>
    <w:rPr>
      <w:rFonts w:ascii="宋体" w:hAnsi="Calibri" w:eastAsia="宋体" w:cs="Times New Roman"/>
      <w:kern w:val="0"/>
      <w:sz w:val="24"/>
      <w:szCs w:val="18"/>
    </w:rPr>
  </w:style>
  <w:style w:type="paragraph" w:styleId="28">
    <w:name w:val="annotation subject"/>
    <w:basedOn w:val="13"/>
    <w:next w:val="13"/>
    <w:link w:val="91"/>
    <w:semiHidden/>
    <w:qFormat/>
    <w:uiPriority w:val="0"/>
    <w:rPr>
      <w:rFonts w:ascii="MingLiU" w:eastAsia="MingLiU"/>
      <w:b/>
      <w:bCs/>
      <w:snapToGrid w:val="0"/>
      <w:lang w:eastAsia="en-US"/>
    </w:rPr>
  </w:style>
  <w:style w:type="table" w:styleId="30">
    <w:name w:val="Table Grid"/>
    <w:basedOn w:val="2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1">
    <w:name w:val="Table Contemporary"/>
    <w:basedOn w:val="29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character" w:styleId="33">
    <w:name w:val="Strong"/>
    <w:qFormat/>
    <w:uiPriority w:val="22"/>
    <w:rPr>
      <w:b/>
      <w:bCs/>
    </w:rPr>
  </w:style>
  <w:style w:type="character" w:styleId="34">
    <w:name w:val="page number"/>
    <w:qFormat/>
    <w:uiPriority w:val="0"/>
    <w:rPr>
      <w:rFonts w:hint="default" w:ascii="Times New Roman" w:hAnsi="Times New Roman" w:cs="Times New Roman"/>
    </w:rPr>
  </w:style>
  <w:style w:type="character" w:styleId="35">
    <w:name w:val="FollowedHyperlink"/>
    <w:basedOn w:val="3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6">
    <w:name w:val="Emphasis"/>
    <w:qFormat/>
    <w:uiPriority w:val="0"/>
    <w:rPr>
      <w:color w:val="CC0000"/>
    </w:rPr>
  </w:style>
  <w:style w:type="character" w:styleId="37">
    <w:name w:val="Hyperlink"/>
    <w:qFormat/>
    <w:uiPriority w:val="99"/>
    <w:rPr>
      <w:rFonts w:hint="default" w:ascii="Times New Roman" w:hAnsi="Times New Roman" w:cs="Times New Roman"/>
      <w:color w:val="0000FF"/>
      <w:u w:val="single"/>
    </w:rPr>
  </w:style>
  <w:style w:type="character" w:styleId="38">
    <w:name w:val="annotation reference"/>
    <w:qFormat/>
    <w:uiPriority w:val="0"/>
    <w:rPr>
      <w:sz w:val="21"/>
      <w:szCs w:val="21"/>
    </w:rPr>
  </w:style>
  <w:style w:type="character" w:styleId="39">
    <w:name w:val="footnote reference"/>
    <w:qFormat/>
    <w:uiPriority w:val="0"/>
    <w:rPr>
      <w:vertAlign w:val="superscript"/>
    </w:rPr>
  </w:style>
  <w:style w:type="character" w:customStyle="1" w:styleId="40">
    <w:name w:val="标题 2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41">
    <w:name w:val="页眉 字符1"/>
    <w:basedOn w:val="32"/>
    <w:link w:val="24"/>
    <w:qFormat/>
    <w:uiPriority w:val="0"/>
    <w:rPr>
      <w:kern w:val="2"/>
      <w:sz w:val="18"/>
      <w:szCs w:val="18"/>
    </w:rPr>
  </w:style>
  <w:style w:type="character" w:customStyle="1" w:styleId="42">
    <w:name w:val="页脚 字符1"/>
    <w:basedOn w:val="32"/>
    <w:link w:val="23"/>
    <w:qFormat/>
    <w:uiPriority w:val="99"/>
    <w:rPr>
      <w:kern w:val="2"/>
      <w:sz w:val="18"/>
      <w:szCs w:val="18"/>
    </w:rPr>
  </w:style>
  <w:style w:type="paragraph" w:customStyle="1" w:styleId="43">
    <w:name w:val="列出段落1"/>
    <w:basedOn w:val="1"/>
    <w:unhideWhenUsed/>
    <w:qFormat/>
    <w:uiPriority w:val="99"/>
    <w:pPr>
      <w:ind w:firstLine="420" w:firstLineChars="200"/>
    </w:pPr>
  </w:style>
  <w:style w:type="paragraph" w:styleId="4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45">
    <w:name w:val="日期 字符1"/>
    <w:basedOn w:val="32"/>
    <w:link w:val="20"/>
    <w:semiHidden/>
    <w:qFormat/>
    <w:uiPriority w:val="0"/>
    <w:rPr>
      <w:kern w:val="2"/>
      <w:sz w:val="21"/>
      <w:szCs w:val="24"/>
    </w:rPr>
  </w:style>
  <w:style w:type="character" w:customStyle="1" w:styleId="46">
    <w:name w:val="纯文本 Char"/>
    <w:basedOn w:val="32"/>
    <w:semiHidden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47">
    <w:name w:val="纯文本 字符"/>
    <w:link w:val="19"/>
    <w:qFormat/>
    <w:uiPriority w:val="0"/>
    <w:rPr>
      <w:rFonts w:ascii="宋体" w:hAnsi="Courier New" w:eastAsia="宋体" w:cs="Courier New"/>
      <w:sz w:val="28"/>
      <w:szCs w:val="21"/>
    </w:rPr>
  </w:style>
  <w:style w:type="character" w:customStyle="1" w:styleId="48">
    <w:name w:val="标题 1 Char"/>
    <w:basedOn w:val="32"/>
    <w:qFormat/>
    <w:uiPriority w:val="0"/>
    <w:rPr>
      <w:b/>
      <w:bCs/>
      <w:kern w:val="44"/>
      <w:sz w:val="44"/>
      <w:szCs w:val="44"/>
    </w:rPr>
  </w:style>
  <w:style w:type="character" w:customStyle="1" w:styleId="49">
    <w:name w:val="标题 3 Char"/>
    <w:basedOn w:val="32"/>
    <w:semiHidden/>
    <w:qFormat/>
    <w:uiPriority w:val="0"/>
    <w:rPr>
      <w:b/>
      <w:bCs/>
      <w:kern w:val="2"/>
      <w:sz w:val="32"/>
      <w:szCs w:val="32"/>
    </w:rPr>
  </w:style>
  <w:style w:type="character" w:customStyle="1" w:styleId="50">
    <w:name w:val="标题 4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1">
    <w:name w:val="标题 5 Char"/>
    <w:basedOn w:val="32"/>
    <w:semiHidden/>
    <w:qFormat/>
    <w:uiPriority w:val="0"/>
    <w:rPr>
      <w:b/>
      <w:bCs/>
      <w:kern w:val="2"/>
      <w:sz w:val="28"/>
      <w:szCs w:val="28"/>
    </w:rPr>
  </w:style>
  <w:style w:type="character" w:customStyle="1" w:styleId="52">
    <w:name w:val="标题 6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3">
    <w:name w:val="标题 7 Char"/>
    <w:basedOn w:val="32"/>
    <w:semiHidden/>
    <w:qFormat/>
    <w:uiPriority w:val="0"/>
    <w:rPr>
      <w:b/>
      <w:bCs/>
      <w:kern w:val="2"/>
      <w:sz w:val="24"/>
      <w:szCs w:val="24"/>
    </w:rPr>
  </w:style>
  <w:style w:type="character" w:customStyle="1" w:styleId="54">
    <w:name w:val="标题 8 Char"/>
    <w:basedOn w:val="32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55">
    <w:name w:val="标题 9 Char"/>
    <w:basedOn w:val="32"/>
    <w:semiHidden/>
    <w:qFormat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56">
    <w:name w:val="标题 1 字符"/>
    <w:link w:val="2"/>
    <w:qFormat/>
    <w:uiPriority w:val="0"/>
    <w:rPr>
      <w:rFonts w:ascii="宋体" w:hAnsi="Calibri" w:eastAsia="宋体" w:cs="Times New Roman"/>
      <w:b/>
      <w:bCs/>
      <w:kern w:val="44"/>
      <w:sz w:val="44"/>
      <w:szCs w:val="44"/>
    </w:rPr>
  </w:style>
  <w:style w:type="character" w:customStyle="1" w:styleId="57">
    <w:name w:val="标题 2 字符"/>
    <w:link w:val="3"/>
    <w:qFormat/>
    <w:uiPriority w:val="0"/>
    <w:rPr>
      <w:rFonts w:ascii="Arial" w:hAnsi="Arial" w:eastAsia="黑体" w:cs="Times New Roman"/>
      <w:b/>
      <w:sz w:val="32"/>
    </w:rPr>
  </w:style>
  <w:style w:type="character" w:customStyle="1" w:styleId="58">
    <w:name w:val="标题 3 字符"/>
    <w:link w:val="4"/>
    <w:qFormat/>
    <w:uiPriority w:val="0"/>
    <w:rPr>
      <w:rFonts w:ascii="宋体" w:hAnsi="Calibri" w:eastAsia="宋体" w:cs="Times New Roman"/>
      <w:b/>
      <w:sz w:val="32"/>
    </w:rPr>
  </w:style>
  <w:style w:type="character" w:customStyle="1" w:styleId="59">
    <w:name w:val="标题 4 字符"/>
    <w:link w:val="5"/>
    <w:qFormat/>
    <w:uiPriority w:val="0"/>
    <w:rPr>
      <w:rFonts w:ascii="Arial" w:hAnsi="Arial" w:eastAsia="黑体" w:cs="Times New Roman"/>
      <w:b/>
      <w:sz w:val="28"/>
    </w:rPr>
  </w:style>
  <w:style w:type="character" w:customStyle="1" w:styleId="60">
    <w:name w:val="标题 5 字符"/>
    <w:link w:val="6"/>
    <w:qFormat/>
    <w:uiPriority w:val="0"/>
    <w:rPr>
      <w:rFonts w:ascii="宋体" w:hAnsi="Calibri" w:eastAsia="宋体" w:cs="Times New Roman"/>
      <w:b/>
      <w:sz w:val="28"/>
    </w:rPr>
  </w:style>
  <w:style w:type="character" w:customStyle="1" w:styleId="61">
    <w:name w:val="标题 6 字符"/>
    <w:link w:val="7"/>
    <w:qFormat/>
    <w:uiPriority w:val="0"/>
    <w:rPr>
      <w:rFonts w:ascii="Arial" w:hAnsi="Arial" w:eastAsia="黑体" w:cs="Times New Roman"/>
      <w:b/>
      <w:sz w:val="24"/>
    </w:rPr>
  </w:style>
  <w:style w:type="character" w:customStyle="1" w:styleId="62">
    <w:name w:val="标题 7 字符"/>
    <w:link w:val="8"/>
    <w:qFormat/>
    <w:uiPriority w:val="0"/>
    <w:rPr>
      <w:rFonts w:ascii="宋体" w:hAnsi="Calibri" w:eastAsia="宋体" w:cs="Times New Roman"/>
      <w:b/>
      <w:sz w:val="24"/>
    </w:rPr>
  </w:style>
  <w:style w:type="character" w:customStyle="1" w:styleId="63">
    <w:name w:val="标题 8 字符"/>
    <w:link w:val="9"/>
    <w:qFormat/>
    <w:uiPriority w:val="0"/>
    <w:rPr>
      <w:rFonts w:ascii="Arial" w:hAnsi="Arial" w:eastAsia="黑体" w:cs="Times New Roman"/>
      <w:sz w:val="24"/>
    </w:rPr>
  </w:style>
  <w:style w:type="character" w:customStyle="1" w:styleId="64">
    <w:name w:val="标题 9 字符"/>
    <w:link w:val="10"/>
    <w:qFormat/>
    <w:uiPriority w:val="0"/>
    <w:rPr>
      <w:rFonts w:ascii="Arial" w:hAnsi="Arial" w:eastAsia="黑体" w:cs="Times New Roman"/>
      <w:sz w:val="28"/>
    </w:rPr>
  </w:style>
  <w:style w:type="paragraph" w:customStyle="1" w:styleId="65">
    <w:name w:val="1"/>
    <w:basedOn w:val="1"/>
    <w:next w:val="44"/>
    <w:qFormat/>
    <w:uiPriority w:val="0"/>
    <w:pPr>
      <w:widowControl/>
      <w:ind w:firstLine="420" w:firstLineChars="200"/>
      <w:jc w:val="left"/>
    </w:pPr>
    <w:rPr>
      <w:rFonts w:ascii="宋体" w:hAnsi="Calibri" w:eastAsia="宋体" w:cs="Times New Roman"/>
      <w:kern w:val="0"/>
      <w:sz w:val="18"/>
      <w:szCs w:val="20"/>
    </w:rPr>
  </w:style>
  <w:style w:type="character" w:customStyle="1" w:styleId="66">
    <w:name w:val="正文缩进 字符"/>
    <w:link w:val="11"/>
    <w:qFormat/>
    <w:uiPriority w:val="0"/>
    <w:rPr>
      <w:rFonts w:ascii="Calibri" w:hAnsi="Calibri" w:eastAsia="宋体" w:cs="Times New Roman"/>
      <w:sz w:val="18"/>
    </w:rPr>
  </w:style>
  <w:style w:type="character" w:customStyle="1" w:styleId="67">
    <w:name w:val="文档结构图 Char"/>
    <w:basedOn w:val="32"/>
    <w:semiHidden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68">
    <w:name w:val="文档结构图 字符"/>
    <w:link w:val="12"/>
    <w:qFormat/>
    <w:locked/>
    <w:uiPriority w:val="0"/>
    <w:rPr>
      <w:rFonts w:ascii="宋体" w:hAnsi="Calibri" w:eastAsia="宋体" w:cs="Times New Roman"/>
      <w:sz w:val="18"/>
      <w:szCs w:val="18"/>
      <w:shd w:val="clear" w:color="auto" w:fill="000080"/>
    </w:rPr>
  </w:style>
  <w:style w:type="character" w:customStyle="1" w:styleId="69">
    <w:name w:val="批注文字 Char"/>
    <w:basedOn w:val="32"/>
    <w:qFormat/>
    <w:uiPriority w:val="0"/>
    <w:rPr>
      <w:kern w:val="2"/>
      <w:sz w:val="21"/>
      <w:szCs w:val="24"/>
    </w:rPr>
  </w:style>
  <w:style w:type="character" w:customStyle="1" w:styleId="70">
    <w:name w:val="批注文字 字符"/>
    <w:link w:val="13"/>
    <w:qFormat/>
    <w:uiPriority w:val="0"/>
    <w:rPr>
      <w:rFonts w:ascii="宋体" w:hAnsi="Calibri" w:eastAsia="宋体" w:cs="Times New Roman"/>
      <w:sz w:val="18"/>
    </w:rPr>
  </w:style>
  <w:style w:type="character" w:customStyle="1" w:styleId="71">
    <w:name w:val="正文文本 3 Char"/>
    <w:basedOn w:val="32"/>
    <w:semiHidden/>
    <w:qFormat/>
    <w:uiPriority w:val="0"/>
    <w:rPr>
      <w:kern w:val="2"/>
      <w:sz w:val="16"/>
      <w:szCs w:val="16"/>
    </w:rPr>
  </w:style>
  <w:style w:type="character" w:customStyle="1" w:styleId="72">
    <w:name w:val="正文文本 3 字符"/>
    <w:link w:val="14"/>
    <w:qFormat/>
    <w:uiPriority w:val="0"/>
    <w:rPr>
      <w:rFonts w:ascii="Calibri" w:hAnsi="Calibri" w:eastAsia="宋体" w:cs="Times New Roman"/>
      <w:sz w:val="24"/>
    </w:rPr>
  </w:style>
  <w:style w:type="character" w:customStyle="1" w:styleId="73">
    <w:name w:val="结束语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4">
    <w:name w:val="结束语 字符"/>
    <w:link w:val="15"/>
    <w:qFormat/>
    <w:uiPriority w:val="0"/>
    <w:rPr>
      <w:rFonts w:ascii="CG Omega" w:hAnsi="CG Omega" w:eastAsia="宋体" w:cs="CG Omega"/>
      <w:sz w:val="22"/>
      <w:szCs w:val="22"/>
      <w:lang w:val="en-GB"/>
    </w:rPr>
  </w:style>
  <w:style w:type="character" w:customStyle="1" w:styleId="75">
    <w:name w:val="正文文本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6">
    <w:name w:val="正文文本 字符"/>
    <w:link w:val="16"/>
    <w:qFormat/>
    <w:uiPriority w:val="0"/>
    <w:rPr>
      <w:rFonts w:ascii="宋体" w:hAnsi="Arial" w:eastAsia="宋体" w:cs="宋体"/>
      <w:sz w:val="24"/>
    </w:rPr>
  </w:style>
  <w:style w:type="character" w:customStyle="1" w:styleId="77">
    <w:name w:val="正文文本缩进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8">
    <w:name w:val="正文文本缩进 字符"/>
    <w:link w:val="17"/>
    <w:qFormat/>
    <w:uiPriority w:val="0"/>
    <w:rPr>
      <w:rFonts w:ascii="Calibri" w:hAnsi="Calibri" w:eastAsia="宋体" w:cs="Times New Roman"/>
      <w:sz w:val="18"/>
    </w:rPr>
  </w:style>
  <w:style w:type="character" w:customStyle="1" w:styleId="79">
    <w:name w:val="日期 字符"/>
    <w:qFormat/>
    <w:uiPriority w:val="0"/>
    <w:rPr>
      <w:rFonts w:ascii="宋体"/>
      <w:kern w:val="2"/>
      <w:sz w:val="24"/>
    </w:rPr>
  </w:style>
  <w:style w:type="character" w:customStyle="1" w:styleId="80">
    <w:name w:val="正文文本缩进 2 Char"/>
    <w:basedOn w:val="32"/>
    <w:semiHidden/>
    <w:qFormat/>
    <w:uiPriority w:val="0"/>
    <w:rPr>
      <w:kern w:val="2"/>
      <w:sz w:val="21"/>
      <w:szCs w:val="24"/>
    </w:rPr>
  </w:style>
  <w:style w:type="character" w:customStyle="1" w:styleId="81">
    <w:name w:val="正文文本缩进 2 字符"/>
    <w:link w:val="21"/>
    <w:qFormat/>
    <w:uiPriority w:val="99"/>
    <w:rPr>
      <w:rFonts w:ascii="Calibri" w:hAnsi="Calibri" w:eastAsia="宋体" w:cs="Times New Roman"/>
      <w:sz w:val="18"/>
    </w:rPr>
  </w:style>
  <w:style w:type="character" w:customStyle="1" w:styleId="82">
    <w:name w:val="批注框文本 Char"/>
    <w:basedOn w:val="32"/>
    <w:qFormat/>
    <w:uiPriority w:val="0"/>
    <w:rPr>
      <w:kern w:val="2"/>
      <w:sz w:val="18"/>
      <w:szCs w:val="18"/>
    </w:rPr>
  </w:style>
  <w:style w:type="character" w:customStyle="1" w:styleId="83">
    <w:name w:val="批注框文本 字符"/>
    <w:link w:val="22"/>
    <w:qFormat/>
    <w:locked/>
    <w:uiPriority w:val="0"/>
    <w:rPr>
      <w:rFonts w:ascii="宋体" w:hAnsi="Calibri" w:eastAsia="宋体" w:cs="Arial"/>
      <w:sz w:val="18"/>
      <w:szCs w:val="18"/>
      <w:lang w:eastAsia="en-US"/>
    </w:rPr>
  </w:style>
  <w:style w:type="character" w:customStyle="1" w:styleId="84">
    <w:name w:val="页脚 字符"/>
    <w:qFormat/>
    <w:uiPriority w:val="0"/>
    <w:rPr>
      <w:sz w:val="18"/>
      <w:szCs w:val="18"/>
    </w:rPr>
  </w:style>
  <w:style w:type="character" w:customStyle="1" w:styleId="85">
    <w:name w:val="页眉 字符"/>
    <w:qFormat/>
    <w:uiPriority w:val="0"/>
    <w:rPr>
      <w:sz w:val="18"/>
      <w:szCs w:val="18"/>
    </w:rPr>
  </w:style>
  <w:style w:type="character" w:customStyle="1" w:styleId="86">
    <w:name w:val="正文文本缩进 3 Char"/>
    <w:basedOn w:val="32"/>
    <w:semiHidden/>
    <w:qFormat/>
    <w:uiPriority w:val="0"/>
    <w:rPr>
      <w:kern w:val="2"/>
      <w:sz w:val="16"/>
      <w:szCs w:val="16"/>
    </w:rPr>
  </w:style>
  <w:style w:type="character" w:customStyle="1" w:styleId="87">
    <w:name w:val="正文文本缩进 3 字符"/>
    <w:link w:val="25"/>
    <w:qFormat/>
    <w:uiPriority w:val="0"/>
    <w:rPr>
      <w:rFonts w:ascii="宋体" w:hAnsi="Calibri" w:eastAsia="宋体" w:cs="Times New Roman"/>
      <w:sz w:val="24"/>
    </w:rPr>
  </w:style>
  <w:style w:type="character" w:customStyle="1" w:styleId="88">
    <w:name w:val="正文文本 2 Char"/>
    <w:basedOn w:val="32"/>
    <w:semiHidden/>
    <w:qFormat/>
    <w:uiPriority w:val="0"/>
    <w:rPr>
      <w:kern w:val="2"/>
      <w:sz w:val="21"/>
      <w:szCs w:val="24"/>
    </w:rPr>
  </w:style>
  <w:style w:type="character" w:customStyle="1" w:styleId="89">
    <w:name w:val="正文文本 2 字符"/>
    <w:link w:val="26"/>
    <w:qFormat/>
    <w:uiPriority w:val="0"/>
    <w:rPr>
      <w:rFonts w:ascii="宋体" w:hAnsi="Calibri" w:eastAsia="宋体" w:cs="Times New Roman"/>
      <w:sz w:val="24"/>
    </w:rPr>
  </w:style>
  <w:style w:type="character" w:customStyle="1" w:styleId="90">
    <w:name w:val="批注主题 Char"/>
    <w:basedOn w:val="69"/>
    <w:semiHidden/>
    <w:qFormat/>
    <w:uiPriority w:val="0"/>
    <w:rPr>
      <w:b/>
      <w:bCs/>
      <w:kern w:val="2"/>
      <w:sz w:val="21"/>
      <w:szCs w:val="24"/>
    </w:rPr>
  </w:style>
  <w:style w:type="character" w:customStyle="1" w:styleId="91">
    <w:name w:val="批注主题 字符"/>
    <w:link w:val="28"/>
    <w:semiHidden/>
    <w:qFormat/>
    <w:uiPriority w:val="0"/>
    <w:rPr>
      <w:rFonts w:ascii="MingLiU" w:hAnsi="Calibri" w:eastAsia="MingLiU" w:cs="Times New Roman"/>
      <w:b/>
      <w:bCs/>
      <w:snapToGrid w:val="0"/>
      <w:sz w:val="18"/>
      <w:lang w:eastAsia="en-US"/>
    </w:rPr>
  </w:style>
  <w:style w:type="character" w:customStyle="1" w:styleId="92">
    <w:name w:val="font21"/>
    <w:qFormat/>
    <w:uiPriority w:val="0"/>
    <w:rPr>
      <w:rFonts w:hint="default" w:ascii="Wingdings" w:hAnsi="Wingdings"/>
      <w:b/>
      <w:bCs/>
      <w:color w:val="000000"/>
      <w:sz w:val="18"/>
      <w:szCs w:val="18"/>
      <w:u w:val="none"/>
    </w:rPr>
  </w:style>
  <w:style w:type="character" w:customStyle="1" w:styleId="93">
    <w:name w:val="批注框文本 Char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4">
    <w:name w:val="tt2"/>
    <w:qFormat/>
    <w:uiPriority w:val="0"/>
  </w:style>
  <w:style w:type="character" w:customStyle="1" w:styleId="95">
    <w:name w:val="文档结构图 Char2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96">
    <w:name w:val="t1"/>
    <w:qFormat/>
    <w:uiPriority w:val="0"/>
    <w:rPr>
      <w:color w:val="990000"/>
    </w:rPr>
  </w:style>
  <w:style w:type="character" w:customStyle="1" w:styleId="97">
    <w:name w:val="正文文本 2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98">
    <w:name w:val="文档结构图 Char Char Char"/>
    <w:qFormat/>
    <w:uiPriority w:val="0"/>
    <w:rPr>
      <w:rFonts w:ascii="宋体" w:cs="Times New Roman"/>
      <w:kern w:val="0"/>
      <w:sz w:val="18"/>
      <w:szCs w:val="18"/>
    </w:rPr>
  </w:style>
  <w:style w:type="character" w:customStyle="1" w:styleId="99">
    <w:name w:val="正文文本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00">
    <w:name w:val="批注文字 Char1"/>
    <w:semiHidden/>
    <w:qFormat/>
    <w:uiPriority w:val="99"/>
    <w:rPr>
      <w:kern w:val="2"/>
      <w:sz w:val="21"/>
    </w:rPr>
  </w:style>
  <w:style w:type="character" w:customStyle="1" w:styleId="101">
    <w:name w:val="apple-converted-space"/>
    <w:qFormat/>
    <w:uiPriority w:val="0"/>
  </w:style>
  <w:style w:type="character" w:customStyle="1" w:styleId="102">
    <w:name w:val="unnamed21"/>
    <w:qFormat/>
    <w:uiPriority w:val="0"/>
    <w:rPr>
      <w:rFonts w:hint="default"/>
      <w:sz w:val="18"/>
      <w:szCs w:val="18"/>
    </w:rPr>
  </w:style>
  <w:style w:type="character" w:customStyle="1" w:styleId="103">
    <w:name w:val="15"/>
    <w:qFormat/>
    <w:uiPriority w:val="0"/>
    <w:rPr>
      <w:rFonts w:hint="default" w:ascii="Times New Roman" w:hAnsi="Times New Roman" w:cs="Times New Roman"/>
      <w:color w:val="CC0000"/>
    </w:rPr>
  </w:style>
  <w:style w:type="character" w:customStyle="1" w:styleId="104">
    <w:name w:val="正文文本缩进 Char1"/>
    <w:semiHidden/>
    <w:qFormat/>
    <w:uiPriority w:val="99"/>
    <w:rPr>
      <w:kern w:val="2"/>
      <w:sz w:val="21"/>
    </w:rPr>
  </w:style>
  <w:style w:type="character" w:customStyle="1" w:styleId="105">
    <w:name w:val="font81"/>
    <w:qFormat/>
    <w:uiPriority w:val="0"/>
    <w:rPr>
      <w:rFonts w:hint="eastAsia" w:ascii="宋体" w:hAnsi="宋体" w:eastAsia="宋体" w:cs="宋体"/>
      <w:color w:val="000000"/>
      <w:sz w:val="16"/>
      <w:szCs w:val="16"/>
      <w:u w:val="single"/>
    </w:rPr>
  </w:style>
  <w:style w:type="character" w:customStyle="1" w:styleId="106">
    <w:name w:val="font51"/>
    <w:qFormat/>
    <w:uiPriority w:val="0"/>
    <w:rPr>
      <w:rFonts w:hint="eastAsia" w:ascii="宋体" w:hAnsi="宋体" w:eastAsia="宋体"/>
      <w:b/>
      <w:bCs/>
      <w:color w:val="000000"/>
      <w:sz w:val="18"/>
      <w:szCs w:val="18"/>
      <w:u w:val="none"/>
    </w:rPr>
  </w:style>
  <w:style w:type="character" w:customStyle="1" w:styleId="107">
    <w:name w:val="16"/>
    <w:qFormat/>
    <w:uiPriority w:val="0"/>
    <w:rPr>
      <w:rFonts w:hint="eastAsia" w:ascii="MS Mincho" w:hAnsi="MS Mincho" w:eastAsia="MS Mincho"/>
      <w:b/>
      <w:bCs/>
    </w:rPr>
  </w:style>
  <w:style w:type="character" w:customStyle="1" w:styleId="108">
    <w:name w:val="批注主题 Char1"/>
    <w:semiHidden/>
    <w:qFormat/>
    <w:uiPriority w:val="99"/>
    <w:rPr>
      <w:b/>
      <w:bCs/>
    </w:rPr>
  </w:style>
  <w:style w:type="character" w:customStyle="1" w:styleId="109">
    <w:name w:val="正文文本 3 Char1"/>
    <w:semiHidden/>
    <w:qFormat/>
    <w:uiPriority w:val="99"/>
    <w:rPr>
      <w:kern w:val="2"/>
      <w:sz w:val="16"/>
      <w:szCs w:val="16"/>
    </w:rPr>
  </w:style>
  <w:style w:type="character" w:customStyle="1" w:styleId="110">
    <w:name w:val="结束语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11">
    <w:name w:val="纯文本 Char1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2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13">
    <w:name w:val="h3 Char"/>
    <w:qFormat/>
    <w:uiPriority w:val="0"/>
    <w:rPr>
      <w:rFonts w:hint="eastAsia" w:ascii="宋体" w:hAnsi="宋体" w:eastAsia="宋体" w:cs="宋体"/>
      <w:b/>
      <w:kern w:val="2"/>
      <w:sz w:val="32"/>
      <w:szCs w:val="32"/>
      <w:lang w:val="en-US" w:eastAsia="zh-CN" w:bidi="ar-SA"/>
    </w:rPr>
  </w:style>
  <w:style w:type="character" w:customStyle="1" w:styleId="114">
    <w:name w:val="Heading 2 Char"/>
    <w:qFormat/>
    <w:uiPriority w:val="0"/>
    <w:rPr>
      <w:rFonts w:ascii="Arial" w:hAnsi="Arial" w:eastAsia="宋体" w:cs="Arial"/>
      <w:b/>
      <w:kern w:val="2"/>
      <w:sz w:val="32"/>
      <w:szCs w:val="32"/>
      <w:lang w:val="en-US" w:eastAsia="zh-CN" w:bidi="ar-SA"/>
    </w:rPr>
  </w:style>
  <w:style w:type="character" w:customStyle="1" w:styleId="115">
    <w:name w:val="正文文本缩进 2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16">
    <w:name w:val="font31"/>
    <w:qFormat/>
    <w:uiPriority w:val="0"/>
    <w:rPr>
      <w:rFonts w:hint="eastAsia" w:ascii="宋体" w:hAnsi="宋体" w:eastAsia="宋体" w:cs="宋体"/>
      <w:color w:val="666699"/>
      <w:sz w:val="16"/>
      <w:szCs w:val="16"/>
      <w:u w:val="none"/>
    </w:rPr>
  </w:style>
  <w:style w:type="character" w:customStyle="1" w:styleId="117">
    <w:name w:val="纯文本 Char2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8">
    <w:name w:val="正文文本缩进 2 Char1"/>
    <w:semiHidden/>
    <w:qFormat/>
    <w:uiPriority w:val="99"/>
    <w:rPr>
      <w:kern w:val="2"/>
      <w:sz w:val="21"/>
    </w:rPr>
  </w:style>
  <w:style w:type="character" w:customStyle="1" w:styleId="119">
    <w:name w:val="日期 Char1"/>
    <w:semiHidden/>
    <w:qFormat/>
    <w:uiPriority w:val="99"/>
    <w:rPr>
      <w:kern w:val="2"/>
      <w:sz w:val="21"/>
    </w:rPr>
  </w:style>
  <w:style w:type="character" w:customStyle="1" w:styleId="120">
    <w:name w:val="正文文本 3 Char2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1">
    <w:name w:val="case31"/>
    <w:qFormat/>
    <w:uiPriority w:val="0"/>
    <w:rPr>
      <w:rFonts w:hint="default"/>
      <w:sz w:val="21"/>
      <w:szCs w:val="21"/>
    </w:rPr>
  </w:style>
  <w:style w:type="character" w:customStyle="1" w:styleId="122">
    <w:name w:val="批注主题 Char2"/>
    <w:semiHidden/>
    <w:qFormat/>
    <w:uiPriority w:val="99"/>
    <w:rPr>
      <w:b/>
      <w:bCs/>
    </w:rPr>
  </w:style>
  <w:style w:type="character" w:customStyle="1" w:styleId="123">
    <w:name w:val="Char Char1"/>
    <w:qFormat/>
    <w:uiPriority w:val="0"/>
    <w:rPr>
      <w:rFonts w:hint="eastAsia" w:ascii="宋体" w:hAnsi="Courier New" w:eastAsia="宋体" w:cs="宋体"/>
      <w:kern w:val="2"/>
      <w:sz w:val="21"/>
      <w:lang w:val="en-US" w:eastAsia="zh-CN" w:bidi="ar-SA"/>
    </w:rPr>
  </w:style>
  <w:style w:type="character" w:customStyle="1" w:styleId="124">
    <w:name w:val="正文文本缩进 3 Char2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5">
    <w:name w:val="font41"/>
    <w:qFormat/>
    <w:uiPriority w:val="0"/>
    <w:rPr>
      <w:rFonts w:hint="eastAsia" w:ascii="宋体" w:hAnsi="宋体" w:eastAsia="宋体"/>
      <w:color w:val="000000"/>
      <w:sz w:val="16"/>
      <w:szCs w:val="16"/>
      <w:u w:val="single"/>
    </w:rPr>
  </w:style>
  <w:style w:type="character" w:customStyle="1" w:styleId="126">
    <w:name w:val="正文文本缩进 3 Char1"/>
    <w:semiHidden/>
    <w:qFormat/>
    <w:uiPriority w:val="99"/>
    <w:rPr>
      <w:kern w:val="2"/>
      <w:sz w:val="16"/>
      <w:szCs w:val="16"/>
    </w:rPr>
  </w:style>
  <w:style w:type="character" w:customStyle="1" w:styleId="127">
    <w:name w:val="zi-wenzhang1"/>
    <w:qFormat/>
    <w:uiPriority w:val="0"/>
    <w:rPr>
      <w:rFonts w:hint="default" w:ascii="Arial" w:hAnsi="Arial"/>
      <w:color w:val="666666"/>
      <w:sz w:val="18"/>
      <w:szCs w:val="18"/>
      <w:u w:val="none"/>
    </w:rPr>
  </w:style>
  <w:style w:type="character" w:customStyle="1" w:styleId="128">
    <w:name w:val="unnamed31"/>
    <w:qFormat/>
    <w:uiPriority w:val="0"/>
    <w:rPr>
      <w:rFonts w:hint="default"/>
      <w:sz w:val="22"/>
      <w:szCs w:val="22"/>
    </w:rPr>
  </w:style>
  <w:style w:type="character" w:customStyle="1" w:styleId="129">
    <w:name w:val="结束语 Char1"/>
    <w:semiHidden/>
    <w:qFormat/>
    <w:uiPriority w:val="99"/>
    <w:rPr>
      <w:kern w:val="2"/>
      <w:sz w:val="21"/>
    </w:rPr>
  </w:style>
  <w:style w:type="character" w:customStyle="1" w:styleId="130">
    <w:name w:val="正文文本 Char1"/>
    <w:semiHidden/>
    <w:qFormat/>
    <w:uiPriority w:val="99"/>
    <w:rPr>
      <w:kern w:val="2"/>
      <w:sz w:val="21"/>
    </w:rPr>
  </w:style>
  <w:style w:type="character" w:customStyle="1" w:styleId="131">
    <w:name w:val="Char Char"/>
    <w:qFormat/>
    <w:uiPriority w:val="0"/>
    <w:rPr>
      <w:rFonts w:hint="eastAsia" w:ascii="宋体" w:hAnsi="宋体" w:eastAsia="宋体" w:cs="Arial"/>
      <w:lang w:val="en-US" w:eastAsia="en-US" w:bidi="ar-SA"/>
    </w:rPr>
  </w:style>
  <w:style w:type="character" w:customStyle="1" w:styleId="132">
    <w:name w:val="正文文本缩进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33">
    <w:name w:val="日期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34">
    <w:name w:val="Char Char10"/>
    <w:qFormat/>
    <w:uiPriority w:val="0"/>
    <w:rPr>
      <w:rFonts w:hint="eastAsia" w:ascii="宋体" w:hAnsi="宋体" w:eastAsia="宋体" w:cs="Arial"/>
      <w:b/>
      <w:kern w:val="44"/>
      <w:sz w:val="44"/>
      <w:szCs w:val="44"/>
      <w:lang w:val="en-US" w:eastAsia="en-US" w:bidi="ar-SA"/>
    </w:rPr>
  </w:style>
  <w:style w:type="character" w:customStyle="1" w:styleId="135">
    <w:name w:val="页码1"/>
    <w:qFormat/>
    <w:uiPriority w:val="0"/>
  </w:style>
  <w:style w:type="character" w:customStyle="1" w:styleId="136">
    <w:name w:val="正文缩进 Char1"/>
    <w:qFormat/>
    <w:uiPriority w:val="0"/>
    <w:rPr>
      <w:kern w:val="2"/>
      <w:sz w:val="21"/>
    </w:rPr>
  </w:style>
  <w:style w:type="character" w:customStyle="1" w:styleId="137">
    <w:name w:val="正文文本 2 Char1"/>
    <w:semiHidden/>
    <w:qFormat/>
    <w:uiPriority w:val="99"/>
    <w:rPr>
      <w:kern w:val="2"/>
      <w:sz w:val="21"/>
    </w:rPr>
  </w:style>
  <w:style w:type="paragraph" w:customStyle="1" w:styleId="138">
    <w:name w:val="xl27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39">
    <w:name w:val="Char Char Char 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</w:rPr>
  </w:style>
  <w:style w:type="paragraph" w:customStyle="1" w:styleId="140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1">
    <w:name w:val="正文1"/>
    <w:basedOn w:val="1"/>
    <w:qFormat/>
    <w:uiPriority w:val="0"/>
    <w:pPr>
      <w:widowControl/>
      <w:overflowPunct w:val="0"/>
      <w:autoSpaceDE w:val="0"/>
      <w:autoSpaceDN w:val="0"/>
      <w:adjustRightInd w:val="0"/>
      <w:spacing w:line="312" w:lineRule="exact"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42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3">
    <w:name w:val="xl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4">
    <w:name w:val="xl6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5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6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7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8">
    <w:name w:val="正文文本缩进 31"/>
    <w:basedOn w:val="1"/>
    <w:qFormat/>
    <w:uiPriority w:val="0"/>
    <w:pPr>
      <w:widowControl/>
      <w:overflowPunct w:val="0"/>
      <w:autoSpaceDE w:val="0"/>
      <w:autoSpaceDN w:val="0"/>
      <w:adjustRightInd w:val="0"/>
      <w:ind w:right="-90" w:firstLine="54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49">
    <w:name w:val="Char1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0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|.坸" w:hAnsi="Times New Roman" w:eastAsia="宋体|.坸" w:cs="宋体|.坸"/>
      <w:color w:val="000000"/>
      <w:sz w:val="24"/>
      <w:szCs w:val="24"/>
      <w:lang w:val="en-US" w:eastAsia="zh-CN" w:bidi="ar-SA"/>
    </w:rPr>
  </w:style>
  <w:style w:type="paragraph" w:customStyle="1" w:styleId="152">
    <w:name w:val="xl6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3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4">
    <w:name w:val="lg"/>
    <w:basedOn w:val="4"/>
    <w:qFormat/>
    <w:uiPriority w:val="0"/>
    <w:pPr>
      <w:keepLines w:val="0"/>
      <w:overflowPunct w:val="0"/>
      <w:autoSpaceDE w:val="0"/>
      <w:autoSpaceDN w:val="0"/>
      <w:spacing w:before="240" w:after="60" w:line="413" w:lineRule="auto"/>
      <w:textAlignment w:val="auto"/>
    </w:pPr>
    <w:rPr>
      <w:rFonts w:ascii="Arial" w:hAnsi="Arial"/>
      <w:sz w:val="24"/>
    </w:rPr>
  </w:style>
  <w:style w:type="paragraph" w:customStyle="1" w:styleId="15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156">
    <w:name w:val="xl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57">
    <w:name w:val="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8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20"/>
      <w:szCs w:val="20"/>
    </w:rPr>
  </w:style>
  <w:style w:type="paragraph" w:customStyle="1" w:styleId="159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60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1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2">
    <w:name w:val="默认段落字体 Para Char Char Char 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63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4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5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6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7">
    <w:name w:val="soustitre"/>
    <w:basedOn w:val="1"/>
    <w:qFormat/>
    <w:uiPriority w:val="0"/>
    <w:pPr>
      <w:widowControl/>
      <w:tabs>
        <w:tab w:val="left" w:pos="525"/>
      </w:tabs>
      <w:overflowPunct w:val="0"/>
      <w:autoSpaceDE w:val="0"/>
      <w:autoSpaceDN w:val="0"/>
      <w:adjustRightInd w:val="0"/>
      <w:spacing w:line="400" w:lineRule="exact"/>
      <w:jc w:val="center"/>
      <w:textAlignment w:val="baseline"/>
    </w:pPr>
    <w:rPr>
      <w:rFonts w:ascii="New York" w:hAnsi="New York" w:eastAsia="楷体_GB2312" w:cs="Times New Roman"/>
      <w:kern w:val="0"/>
      <w:position w:val="-6"/>
      <w:sz w:val="24"/>
      <w:szCs w:val="20"/>
      <w:lang w:val="fr-FR"/>
    </w:rPr>
  </w:style>
  <w:style w:type="paragraph" w:customStyle="1" w:styleId="168">
    <w:name w:val="xl6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9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70">
    <w:name w:val="È±Ê¡ÎÄ±¾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71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20"/>
      <w:szCs w:val="20"/>
    </w:rPr>
  </w:style>
  <w:style w:type="paragraph" w:customStyle="1" w:styleId="172">
    <w:name w:val="retrait3"/>
    <w:basedOn w:val="1"/>
    <w:qFormat/>
    <w:uiPriority w:val="0"/>
    <w:pPr>
      <w:widowControl/>
      <w:spacing w:before="20" w:after="20"/>
      <w:ind w:left="851"/>
      <w:jc w:val="left"/>
    </w:pPr>
    <w:rPr>
      <w:rFonts w:ascii="Arial" w:hAnsi="Arial" w:eastAsia="宋体" w:cs="Times New Roman"/>
      <w:kern w:val="0"/>
      <w:sz w:val="24"/>
      <w:szCs w:val="20"/>
      <w:lang w:eastAsia="en-US"/>
    </w:rPr>
  </w:style>
  <w:style w:type="paragraph" w:customStyle="1" w:styleId="173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4">
    <w:name w:val="Char2"/>
    <w:basedOn w:val="1"/>
    <w:qFormat/>
    <w:uiPriority w:val="0"/>
    <w:pPr>
      <w:widowControl/>
      <w:jc w:val="left"/>
    </w:pPr>
    <w:rPr>
      <w:rFonts w:ascii="Tahoma" w:hAnsi="Tahoma" w:eastAsia="宋体" w:cs="Times New Roman"/>
      <w:kern w:val="0"/>
      <w:sz w:val="24"/>
    </w:rPr>
  </w:style>
  <w:style w:type="paragraph" w:customStyle="1" w:styleId="175">
    <w:name w:val="1.1小节后正文"/>
    <w:basedOn w:val="1"/>
    <w:qFormat/>
    <w:uiPriority w:val="0"/>
    <w:pPr>
      <w:widowControl/>
      <w:spacing w:line="360" w:lineRule="auto"/>
      <w:ind w:left="284"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76">
    <w:name w:val="Info"/>
    <w:basedOn w:val="1"/>
    <w:qFormat/>
    <w:uiPriority w:val="0"/>
    <w:pPr>
      <w:widowControl/>
      <w:ind w:left="576" w:hanging="144"/>
      <w:jc w:val="left"/>
    </w:pPr>
    <w:rPr>
      <w:rFonts w:ascii="Helvetica" w:hAnsi="Helvetica" w:eastAsia="宋体" w:cs="Times New Roman"/>
      <w:kern w:val="0"/>
      <w:sz w:val="20"/>
      <w:szCs w:val="20"/>
      <w:lang w:eastAsia="en-US"/>
    </w:rPr>
  </w:style>
  <w:style w:type="paragraph" w:customStyle="1" w:styleId="177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8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79">
    <w:name w:val="正文文本缩进1"/>
    <w:basedOn w:val="1"/>
    <w:qFormat/>
    <w:uiPriority w:val="0"/>
    <w:pPr>
      <w:widowControl/>
      <w:spacing w:line="288" w:lineRule="auto"/>
      <w:ind w:firstLine="560" w:firstLineChars="200"/>
      <w:jc w:val="left"/>
    </w:pPr>
    <w:rPr>
      <w:rFonts w:ascii="宋体" w:hAnsi="宋体" w:eastAsia="宋体" w:cs="Times New Roman"/>
      <w:kern w:val="0"/>
      <w:sz w:val="28"/>
      <w:szCs w:val="18"/>
    </w:rPr>
  </w:style>
  <w:style w:type="paragraph" w:customStyle="1" w:styleId="180">
    <w:name w:val="p47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4"/>
    </w:rPr>
  </w:style>
  <w:style w:type="paragraph" w:customStyle="1" w:styleId="181">
    <w:name w:val="xl2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eastAsia="Arial Unicode MS" w:cs="Arial"/>
      <w:kern w:val="0"/>
      <w:sz w:val="24"/>
      <w:szCs w:val="18"/>
    </w:rPr>
  </w:style>
  <w:style w:type="paragraph" w:customStyle="1" w:styleId="182">
    <w:name w:val="p17"/>
    <w:basedOn w:val="1"/>
    <w:qFormat/>
    <w:uiPriority w:val="0"/>
    <w:pPr>
      <w:widowControl/>
      <w:pBdr>
        <w:bottom w:val="single" w:color="000000" w:sz="6" w:space="1"/>
      </w:pBdr>
      <w:jc w:val="center"/>
    </w:pPr>
    <w:rPr>
      <w:rFonts w:ascii="宋体" w:hAnsi="Calibri" w:eastAsia="宋体" w:cs="Times New Roman"/>
      <w:kern w:val="0"/>
      <w:sz w:val="18"/>
      <w:szCs w:val="18"/>
    </w:rPr>
  </w:style>
  <w:style w:type="paragraph" w:customStyle="1" w:styleId="183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4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5">
    <w:name w:val="xl3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hint="eastAsia" w:ascii="Arial Unicode MS" w:hAnsi="Arial Unicode MS" w:eastAsia="Arial Unicode MS" w:cs="Arial Unicode MS"/>
      <w:b/>
      <w:kern w:val="0"/>
      <w:sz w:val="36"/>
      <w:szCs w:val="36"/>
    </w:rPr>
  </w:style>
  <w:style w:type="paragraph" w:customStyle="1" w:styleId="186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7">
    <w:name w:val="xl6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8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9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Times New Roman"/>
      <w:kern w:val="0"/>
      <w:sz w:val="18"/>
      <w:szCs w:val="21"/>
    </w:rPr>
  </w:style>
  <w:style w:type="paragraph" w:customStyle="1" w:styleId="190">
    <w:name w:val="xl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91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8"/>
      <w:szCs w:val="18"/>
    </w:rPr>
  </w:style>
  <w:style w:type="paragraph" w:customStyle="1" w:styleId="192">
    <w:name w:val="_Style 6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93">
    <w:name w:val="tableau"/>
    <w:basedOn w:val="1"/>
    <w:qFormat/>
    <w:uiPriority w:val="0"/>
    <w:pPr>
      <w:widowControl/>
      <w:spacing w:before="20" w:after="20"/>
      <w:jc w:val="center"/>
    </w:pPr>
    <w:rPr>
      <w:rFonts w:ascii="Arial" w:hAnsi="Arial" w:eastAsia="宋体" w:cs="Times New Roman"/>
      <w:kern w:val="0"/>
      <w:sz w:val="16"/>
      <w:szCs w:val="20"/>
      <w:lang w:val="en-GB" w:eastAsia="en-US"/>
    </w:rPr>
  </w:style>
  <w:style w:type="paragraph" w:customStyle="1" w:styleId="194">
    <w:name w:val="xl6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95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6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7">
    <w:name w:val="节后正文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98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9">
    <w:name w:val="样式38"/>
    <w:basedOn w:val="6"/>
    <w:qFormat/>
    <w:uiPriority w:val="0"/>
  </w:style>
  <w:style w:type="paragraph" w:customStyle="1" w:styleId="200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1">
    <w:name w:val="Absatz"/>
    <w:qFormat/>
    <w:uiPriority w:val="0"/>
    <w:pPr>
      <w:widowControl w:val="0"/>
      <w:tabs>
        <w:tab w:val="left" w:pos="0"/>
        <w:tab w:val="left" w:pos="1418"/>
        <w:tab w:val="left" w:pos="2835"/>
        <w:tab w:val="left" w:pos="4251"/>
      </w:tabs>
      <w:spacing w:after="283" w:line="278" w:lineRule="atLeast"/>
      <w:jc w:val="both"/>
    </w:pPr>
    <w:rPr>
      <w:rFonts w:ascii="Helvetica" w:hAnsi="Helvetica" w:eastAsia="宋体" w:cs="Times New Roman"/>
      <w:sz w:val="24"/>
      <w:lang w:val="de-DE" w:eastAsia="zh-CN" w:bidi="ar-SA"/>
    </w:rPr>
  </w:style>
  <w:style w:type="paragraph" w:customStyle="1" w:styleId="202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3">
    <w:name w:val="p0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1"/>
    </w:rPr>
  </w:style>
  <w:style w:type="paragraph" w:customStyle="1" w:styleId="204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5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6">
    <w:name w:val="p15"/>
    <w:basedOn w:val="1"/>
    <w:qFormat/>
    <w:uiPriority w:val="0"/>
    <w:pPr>
      <w:widowControl/>
      <w:snapToGrid w:val="0"/>
      <w:jc w:val="left"/>
    </w:pPr>
    <w:rPr>
      <w:rFonts w:ascii="Arial" w:hAnsi="Arial" w:eastAsia="宋体" w:cs="Arial"/>
      <w:color w:val="000000"/>
      <w:kern w:val="0"/>
      <w:sz w:val="24"/>
      <w:szCs w:val="18"/>
    </w:rPr>
  </w:style>
  <w:style w:type="paragraph" w:customStyle="1" w:styleId="207">
    <w:name w:val="xl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黑体" w:hAnsi="Arial Unicode MS" w:eastAsia="黑体" w:cs="Times New Roman"/>
      <w:kern w:val="0"/>
      <w:sz w:val="36"/>
      <w:szCs w:val="36"/>
    </w:rPr>
  </w:style>
  <w:style w:type="paragraph" w:customStyle="1" w:styleId="208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9">
    <w:name w:val="Head_1"/>
    <w:basedOn w:val="1"/>
    <w:qFormat/>
    <w:uiPriority w:val="0"/>
    <w:pPr>
      <w:widowControl/>
      <w:ind w:left="288"/>
      <w:jc w:val="left"/>
    </w:pPr>
    <w:rPr>
      <w:rFonts w:ascii="Helvetica" w:hAnsi="Helvetica" w:eastAsia="宋体" w:cs="Times New Roman"/>
      <w:i/>
      <w:kern w:val="0"/>
      <w:sz w:val="20"/>
      <w:szCs w:val="20"/>
    </w:rPr>
  </w:style>
  <w:style w:type="paragraph" w:customStyle="1" w:styleId="210">
    <w:name w:val="样式2"/>
    <w:basedOn w:val="1"/>
    <w:qFormat/>
    <w:uiPriority w:val="0"/>
    <w:pPr>
      <w:widowControl/>
      <w:adjustRightInd w:val="0"/>
      <w:spacing w:line="410" w:lineRule="atLeast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211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2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3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965FE-5D70-4C34-9FCC-0E6B2D4BA7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11</Pages>
  <Words>2382</Words>
  <Characters>2682</Characters>
  <Lines>60</Lines>
  <Paragraphs>82</Paragraphs>
  <TotalTime>50</TotalTime>
  <ScaleCrop>false</ScaleCrop>
  <LinksUpToDate>false</LinksUpToDate>
  <CharactersWithSpaces>2704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2021-06-12T09:57:00Z</dcterms:created>
  <dc:creator>Administrator</dc:creator>
  <cp:lastModifiedBy>红旗下的蛋</cp:lastModifiedBy>
  <cp:lastPrinted>2025-03-31T06:20:00Z</cp:lastPrinted>
  <dcterms:modified xsi:type="dcterms:W3CDTF">2025-08-10T02:53:26Z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eyJoZGlkIjoiMDBkNjJhZmI5ZTdhNDM4YjJkMjQyOGRmOTlkMzJmNTciLCJ1c2VySWQiOiIzMDAzNjcwMDAifQ==</vt:lpwstr>
  </property>
  <property fmtid="{D5CDD505-2E9C-101B-9397-08002B2CF9AE}" pid="4" name="ICV">
    <vt:lpwstr>757D9753854B4C228199DE00038D2E0F_13</vt:lpwstr>
  </property>
</Properties>
</file>